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firstLine="5840" w:firstLineChars="2000"/>
        <w:jc w:val="right"/>
        <w:rPr>
          <w:rFonts w:hint="default" w:ascii="Times New Roman" w:hAnsi="Times New Roman" w:eastAsia="sans-serif" w:cs="Times New Roman"/>
          <w:i w:val="0"/>
          <w:caps w:val="0"/>
          <w:color w:val="171A1D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OLE_LINK2"/>
      <w:r>
        <w:rPr>
          <w:rFonts w:hint="default" w:ascii="Times New Roman" w:hAnsi="Times New Roman" w:eastAsia="sans-serif" w:cs="Times New Roman"/>
          <w:i w:val="0"/>
          <w:caps w:val="0"/>
          <w:color w:val="171A1D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ZJGC03-2024-0003</w:t>
      </w:r>
    </w:p>
    <w:p>
      <w:pPr>
        <w:keepNext w:val="0"/>
        <w:keepLines w:val="0"/>
        <w:widowControl/>
        <w:suppressLineNumbers w:val="0"/>
        <w:ind w:firstLine="12080" w:firstLineChars="2000"/>
        <w:jc w:val="right"/>
        <w:rPr>
          <w:rFonts w:hint="eastAsia" w:ascii="方正小标宋简体" w:hAnsi="方正小标宋简体" w:eastAsia="方正小标宋简体" w:cs="方正小标宋简体"/>
          <w:color w:val="FF0000"/>
          <w:spacing w:val="-20"/>
          <w:w w:val="80"/>
          <w:sz w:val="84"/>
          <w:szCs w:val="8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distribute"/>
        <w:textAlignment w:val="auto"/>
        <w:rPr>
          <w:rFonts w:hint="eastAsia" w:ascii="方正小标宋简体" w:hAnsi="方正小标宋简体" w:eastAsia="方正小标宋简体" w:cs="方正小标宋简体"/>
          <w:color w:val="FF0000"/>
          <w:spacing w:val="-20"/>
          <w:w w:val="80"/>
          <w:sz w:val="84"/>
          <w:szCs w:val="8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-20"/>
          <w:w w:val="80"/>
          <w:sz w:val="84"/>
          <w:szCs w:val="84"/>
          <w:lang w:eastAsia="zh-CN"/>
        </w:rPr>
        <w:t>金华市经济和信息化局文件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FF000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color w:val="FF0000"/>
          <w:lang w:eastAsia="zh-CN"/>
        </w:rPr>
      </w:pPr>
      <w:r>
        <w:rPr>
          <w:rFonts w:hint="default" w:ascii="Times New Roman" w:hAnsi="Times New Roman" w:eastAsia="仿宋_GB2312" w:cs="Times New Roman"/>
          <w:color w:val="0C0C0C"/>
          <w:spacing w:val="0"/>
          <w:kern w:val="21"/>
          <w:sz w:val="32"/>
          <w:szCs w:val="32"/>
          <w:lang w:val="en-US" w:eastAsia="zh-CN"/>
        </w:rPr>
        <w:t>金经信产业〔2024〕115号</w:t>
      </w:r>
      <w:r>
        <w:rPr>
          <w:color w:val="FF0000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466090</wp:posOffset>
                </wp:positionV>
                <wp:extent cx="5686425" cy="0"/>
                <wp:effectExtent l="0" t="9525" r="9525" b="952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17905" y="2649220"/>
                          <a:ext cx="568642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pt;margin-top:36.7pt;height:0pt;width:447.75pt;z-index:251661312;mso-width-relative:page;mso-height-relative:page;" filled="f" stroked="t" coordsize="21600,21600" o:gfxdata="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BYAAABkcnMvUEsBAhQAFAAAAAgAh07iQByJJMvVAAAACAEAAA8AAAAAAAAAAQAgAAAAOAAA&#10;AGRycy9kb3ducmV2LnhtbFBLAQIUABQAAAAIAIdO4kAWDMZq9QEAAL4DAAAOAAAAAAAAAAEAIAAA&#10;ADoBAABkcnMvZTJvRG9jLnhtbFBLBQYAAAAABgAGAFkBAAChBQAAAAA=&#10;">
                <v:fill on="f" focussize="0,0"/>
                <v:stroke weight="1.5pt" color="#FF0000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  <w:color w:val="FF0000"/>
          <w:lang w:eastAsia="zh-CN"/>
        </w:rPr>
      </w:pPr>
      <w:r>
        <w:rPr>
          <w:rFonts w:hint="default" w:ascii="Times New Roman" w:hAnsi="Times New Roman" w:cs="Times New Roman"/>
          <w:color w:val="0C0C0C"/>
          <w:spacing w:val="0"/>
          <w:kern w:val="21"/>
          <w:sz w:val="32"/>
          <w:szCs w:val="32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color w:val="0C0C0C"/>
          <w:spacing w:val="0"/>
          <w:kern w:val="21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6361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金华市经济和信息化局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w w:val="9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关于印发</w:t>
      </w:r>
      <w:r>
        <w:rPr>
          <w:rFonts w:hint="default" w:ascii="Times New Roman" w:hAnsi="Times New Roman" w:eastAsia="方正小标宋简体" w:cs="Times New Roman"/>
          <w:w w:val="90"/>
          <w:sz w:val="44"/>
          <w:szCs w:val="44"/>
        </w:rPr>
        <w:t>《</w:t>
      </w: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金华市区“亩均领跑者”奖励资金管理实施细则</w:t>
      </w:r>
      <w:r>
        <w:rPr>
          <w:rFonts w:hint="default" w:ascii="Times New Roman" w:hAnsi="Times New Roman" w:eastAsia="方正小标宋简体" w:cs="Times New Roman"/>
          <w:w w:val="90"/>
          <w:sz w:val="44"/>
          <w:szCs w:val="44"/>
        </w:rPr>
        <w:t>》的通知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w w:val="9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/>
        <w:jc w:val="left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婺城区经商局、金义新区经信局、金华经济技术开发区经济发展部：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firstLine="584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为贯彻落实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金华市人民政府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关于加快推进新型工业化的政策意见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金政发〔2024〕6号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）文件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精神，特制定本实施细则。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现印发给你们，请认真贯彻执行。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right="0" w:firstLine="584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right="0" w:firstLine="584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金华市经济和信息化局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Chars="0" w:right="0" w:firstLine="584" w:firstLineChars="200"/>
        <w:jc w:val="left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w w:val="90"/>
          <w:sz w:val="44"/>
          <w:szCs w:val="44"/>
        </w:rPr>
        <w:br w:type="page"/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 w:eastAsia="zh-CN"/>
        </w:rPr>
        <w:t>金华市区“亩均领跑者”奖励资金管理实施细则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一、奖励对象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在金华市区范围内工商登记注册的制造业企业。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二、奖励条款和条件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  <w:t>（一）奖励条款：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根据企业亩均效益评选亩均领跑者，对市区前三的企业，分别奖励50万元、30万元、20万元。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  <w:t>（二）奖励条件：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 w:bidi="ar-SA"/>
        </w:rPr>
        <w:t>1.申请主体：应为市区当年度参评主体；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kern w:val="2"/>
          <w:sz w:val="32"/>
          <w:szCs w:val="32"/>
          <w:highlight w:val="none"/>
          <w:lang w:val="en-US" w:eastAsia="zh-CN" w:bidi="ar-SA"/>
        </w:rPr>
        <w:t>2.奖励企业需同时满足以下条件：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（1）当年度亩均效益综合评价A类企业；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（2）规模以上制造业企业；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（3）实际用地面积不低于25亩；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（4）对外出租面积不得超过登记面积的20%。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三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、评选程序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  <w:t>（一）申报。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市区“亩均领跑者”奖励由市经信局组织申报。由企业填写《金华市区“亩均领跑者”奖励资金申请表》（见附件）并上报相关材料，区经商（发）局审核企业亩均税收及用地数据，评定后择优推荐3家企业报送市经信局，项目申报和市、区经信部门审核均应登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“金华市财政补助资金管理系统”（https://czbz.czj.jinhua.gov.cn:9443/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sz w:val="32"/>
          <w:szCs w:val="32"/>
        </w:rPr>
        <w:t>）网上平台操作。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  <w:t>（二）复核。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市经信局或由市经信局组织第三方审计机构对相关材料进行审核，择优推荐，形成奖励名单。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highlight w:val="none"/>
          <w:lang w:val="en-US" w:eastAsia="zh-CN" w:bidi="ar-SA"/>
        </w:rPr>
        <w:t>（三）公示。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结果在市经信局网站上予以公示，公示期满后无异议的按程序报市经信局党委审批，审定批准后下达奖励资金文件，市、区财政局按财政体制各自承担相关资金。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四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、监督和检查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（一）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各区经信、财政部门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要密切配合，负责对申报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企业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的真实性、合法性，以及申报材料的可靠性、完整性进行查证核实，确保申报材料真实、可靠、完整。同时，加强对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申报企业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的工作指导和监督检查。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（二）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严禁各种违规行为。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申报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过程中，发现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申报企业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存在弄虚作假现象，一经查实，3年内不得申报和享受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金华市区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“亩均领跑者”奖励资金及其他政策优惠。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584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  <w:t>五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附则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其他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政策与本政策不一致的，奖励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项目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相同部分以本政策为准，同一项目只能享受一次奖励，不能重复享受。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本实施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细则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自</w:t>
      </w:r>
      <w:r>
        <w:rPr>
          <w:rFonts w:hint="eastAsia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8月23日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施行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，由金华市经济和信息化局负责解释。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附件：1.金华市区</w:t>
      </w: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“亩均领跑者”奖励资金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申请表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Chars="0" w:right="0" w:rightChars="0" w:firstLine="1460" w:firstLineChars="500"/>
        <w:textAlignment w:val="auto"/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32"/>
          <w:szCs w:val="32"/>
          <w:highlight w:val="none"/>
          <w:lang w:val="en-US" w:eastAsia="zh-CN" w:bidi="ar-SA"/>
        </w:rPr>
        <w:t>2.指标定义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黑体" w:cs="Times New Roman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highlight w:val="none"/>
          <w:lang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right="0" w:rightChars="0"/>
        <w:rPr>
          <w:rFonts w:hint="default" w:ascii="Times New Roman" w:hAnsi="Times New Roman" w:eastAsia="黑体" w:cs="Times New Roman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right="0" w:rightChars="0"/>
        <w:jc w:val="center"/>
        <w:rPr>
          <w:rFonts w:hint="default" w:ascii="Times New Roman" w:hAnsi="Times New Roman" w:eastAsia="方正小标宋简体" w:cs="Times New Roman"/>
          <w:spacing w:val="-12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-12"/>
          <w:sz w:val="44"/>
          <w:szCs w:val="44"/>
          <w:highlight w:val="none"/>
          <w:shd w:val="clear" w:color="auto" w:fill="FFFFFF"/>
          <w:lang w:val="en-US" w:eastAsia="zh-CN"/>
        </w:rPr>
        <w:t>金华市区“亩均领跑者”奖励资金申请表</w:t>
      </w:r>
    </w:p>
    <w:p>
      <w:pPr>
        <w:keepNext w:val="0"/>
        <w:keepLines w:val="0"/>
        <w:pageBreakBefore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right="0" w:rightChars="0"/>
        <w:jc w:val="center"/>
        <w:rPr>
          <w:rFonts w:hint="default" w:ascii="Times New Roman" w:hAnsi="Times New Roman" w:cs="Times New Roman"/>
          <w:bCs/>
          <w:spacing w:val="-12"/>
          <w:sz w:val="28"/>
          <w:szCs w:val="28"/>
          <w:highlight w:val="none"/>
          <w:shd w:val="clear" w:color="auto" w:fill="FFFFFF"/>
        </w:rPr>
      </w:pPr>
      <w:r>
        <w:rPr>
          <w:rFonts w:hint="default" w:ascii="Times New Roman" w:hAnsi="Times New Roman" w:cs="Times New Roman"/>
          <w:bCs/>
          <w:spacing w:val="-12"/>
          <w:sz w:val="28"/>
          <w:szCs w:val="28"/>
          <w:highlight w:val="none"/>
          <w:shd w:val="clear" w:color="auto" w:fill="FFFFFF"/>
        </w:rPr>
        <w:t>（          ）</w:t>
      </w:r>
      <w:r>
        <w:rPr>
          <w:rFonts w:hint="default" w:ascii="Times New Roman" w:hAnsi="Times New Roman" w:cs="Times New Roman"/>
          <w:bCs/>
          <w:spacing w:val="-12"/>
          <w:sz w:val="28"/>
          <w:szCs w:val="28"/>
          <w:highlight w:val="none"/>
          <w:shd w:val="clear" w:color="auto" w:fill="FFFFFF"/>
          <w:lang w:eastAsia="zh-CN"/>
        </w:rPr>
        <w:t>年度</w:t>
      </w:r>
    </w:p>
    <w:tbl>
      <w:tblPr>
        <w:tblStyle w:val="7"/>
        <w:tblW w:w="881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1"/>
        <w:gridCol w:w="1343"/>
        <w:gridCol w:w="1410"/>
        <w:gridCol w:w="1442"/>
        <w:gridCol w:w="2"/>
        <w:gridCol w:w="1327"/>
        <w:gridCol w:w="161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企业名称（盖章）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地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址</w:t>
            </w: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纳税识别号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7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法人代表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联系电话</w:t>
            </w: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手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机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2" w:hRule="atLeast"/>
          <w:jc w:val="center"/>
        </w:trPr>
        <w:tc>
          <w:tcPr>
            <w:tcW w:w="16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联系人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联系电话</w:t>
            </w:r>
          </w:p>
        </w:tc>
        <w:tc>
          <w:tcPr>
            <w:tcW w:w="1444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  <w:tc>
          <w:tcPr>
            <w:tcW w:w="1327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手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机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9" w:hRule="atLeast"/>
          <w:jc w:val="center"/>
        </w:trPr>
        <w:tc>
          <w:tcPr>
            <w:tcW w:w="16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登记用地面积</w:t>
            </w:r>
          </w:p>
        </w:tc>
        <w:tc>
          <w:tcPr>
            <w:tcW w:w="1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14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>承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租用地面积</w:t>
            </w:r>
          </w:p>
        </w:tc>
        <w:tc>
          <w:tcPr>
            <w:tcW w:w="14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1329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出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>租用地面积</w:t>
            </w:r>
          </w:p>
        </w:tc>
        <w:tc>
          <w:tcPr>
            <w:tcW w:w="16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16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实际用地面积</w:t>
            </w:r>
          </w:p>
        </w:tc>
        <w:tc>
          <w:tcPr>
            <w:tcW w:w="134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14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申报年度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</w:rPr>
              <w:t>利润总额</w:t>
            </w:r>
          </w:p>
        </w:tc>
        <w:tc>
          <w:tcPr>
            <w:tcW w:w="144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  <w:tc>
          <w:tcPr>
            <w:tcW w:w="1329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亩均税收</w:t>
            </w:r>
          </w:p>
        </w:tc>
        <w:tc>
          <w:tcPr>
            <w:tcW w:w="161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2" w:hRule="atLeast"/>
          <w:jc w:val="center"/>
        </w:trPr>
        <w:tc>
          <w:tcPr>
            <w:tcW w:w="16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区经信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部门初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审意见</w:t>
            </w:r>
          </w:p>
        </w:tc>
        <w:tc>
          <w:tcPr>
            <w:tcW w:w="27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月     日</w:t>
            </w:r>
          </w:p>
        </w:tc>
        <w:tc>
          <w:tcPr>
            <w:tcW w:w="14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区财政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部门初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审意见</w:t>
            </w:r>
          </w:p>
        </w:tc>
        <w:tc>
          <w:tcPr>
            <w:tcW w:w="29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月 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2" w:hRule="atLeast"/>
          <w:jc w:val="center"/>
        </w:trPr>
        <w:tc>
          <w:tcPr>
            <w:tcW w:w="16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市经信局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审核意见</w:t>
            </w:r>
          </w:p>
        </w:tc>
        <w:tc>
          <w:tcPr>
            <w:tcW w:w="713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0" w:lineRule="atLeast"/>
              <w:ind w:left="0" w:leftChars="0" w:right="0" w:rightChars="0" w:firstLine="424" w:firstLineChars="20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highlight w:val="none"/>
                <w:lang w:val="en-US" w:eastAsia="zh-CN"/>
              </w:rPr>
              <w:t xml:space="preserve">     月     日</w:t>
            </w:r>
          </w:p>
        </w:tc>
      </w:tr>
    </w:tbl>
    <w:p>
      <w:pPr>
        <w:rPr>
          <w:rFonts w:hint="default" w:ascii="Times New Roman" w:hAnsi="Times New Roman" w:eastAsia="黑体" w:cs="Times New Roman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highlight w:val="none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right="0" w:rightChars="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pacing w:val="-12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-12"/>
          <w:sz w:val="44"/>
          <w:szCs w:val="44"/>
          <w:highlight w:val="none"/>
          <w:shd w:val="clear" w:color="auto" w:fill="FFFFFF"/>
          <w:lang w:val="en-US" w:eastAsia="zh-CN"/>
        </w:rPr>
        <w:t>指标定义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实际用地面积：指年末企业实际占用的土地面积。用地面积=已登记用地面积+承租用地面积-出租用地面积。其中：1.已登记用地面积：是指企业经自然资源部门登记的土地面积；2.承租用地面积：是指企业依法租赁取得的实际用地面积，若企业租赁标准厂房或无法准确计算用地面积，则根据企业租赁的建筑面积与容积率之比计算企业租赁的用地面积；3.出租用地面积：是指工业企业依法将自用土地或厂房出租给其他企业的用地面积；4.经批准的项目新增土地面积在2年建设期、1年过渡期内可不计入用地面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584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sectPr>
          <w:footerReference r:id="rId3" w:type="default"/>
          <w:footerReference r:id="rId4" w:type="even"/>
          <w:pgSz w:w="11906" w:h="16838"/>
          <w:pgMar w:top="1701" w:right="1531" w:bottom="1701" w:left="1587" w:header="851" w:footer="992" w:gutter="57"/>
          <w:pgNumType w:fmt="numberInDash"/>
          <w:cols w:space="0" w:num="1"/>
          <w:rtlGutter w:val="0"/>
          <w:docGrid w:type="linesAndChars" w:linePitch="447" w:charSpace="-5933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2" w:firstLineChars="100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2" w:firstLineChars="100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2" w:firstLineChars="100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2" w:firstLineChars="100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pStyle w:val="10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52" w:firstLineChars="100"/>
        <w:textAlignment w:val="auto"/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252" w:firstLineChars="1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-84455</wp:posOffset>
                </wp:positionH>
                <wp:positionV relativeFrom="paragraph">
                  <wp:posOffset>12700</wp:posOffset>
                </wp:positionV>
                <wp:extent cx="5800725" cy="190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934085" y="9135745"/>
                          <a:ext cx="5800725" cy="190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6.65pt;margin-top:1pt;height:0.15pt;width:456.75pt;z-index:251660288;mso-width-relative:page;mso-height-relative:page;" filled="f" stroked="t" coordsize="21600,21600" o:gfxdata="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EWwfpPUAAAA&#10;BwEAAA8AAAAAAAAAAQAgAAAAOAAAAGRycy9kb3ducmV2LnhtbFBLAQIUABQAAAAIAIdO4kBa3JGV&#10;CwIAAPkDAAAOAAAAAAAAAAEAIAAAADkBAABkcnMvZTJvRG9jLnhtbFBLBQYAAAAABgAGAFkBAAC2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-105410</wp:posOffset>
                </wp:positionH>
                <wp:positionV relativeFrom="paragraph">
                  <wp:posOffset>435610</wp:posOffset>
                </wp:positionV>
                <wp:extent cx="5831205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02335" y="9591040"/>
                          <a:ext cx="583120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.3pt;margin-top:34.3pt;height:0pt;width:459.15pt;z-index:251659264;mso-width-relative:page;mso-height-relative:page;" filled="f" stroked="t" coordsize="21600,21600" o:gfxdata="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BYAAABkcnMvUEsBAhQAFAAAAAgAh07iQDB7mdLWAAAACQEAAA8AAAAA&#10;AAAAAQAgAAAAOAAAAGRycy9kb3ducmV2LnhtbFBLAQIUABQAAAAIAIdO4kAy9frjAAIAAOwDAAAO&#10;AAAAAAAAAAEAIAAAADsBAABkcnMvZTJvRG9jLnhtbFBLBQYAAAAABgAGAFkBAACt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w:t xml:space="preserve">金华市经济和信息化局办公室     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C0C0C"/>
          <w:kern w:val="21"/>
          <w:sz w:val="28"/>
          <w:szCs w:val="28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w:t xml:space="preserve">  202</w:t>
      </w:r>
      <w:r>
        <w:rPr>
          <w:rFonts w:hint="default" w:ascii="Times New Roman" w:hAnsi="Times New Roman" w:cs="Times New Roman"/>
          <w:color w:val="0C0C0C"/>
          <w:kern w:val="21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w:t>月</w:t>
      </w:r>
      <w:r>
        <w:rPr>
          <w:rFonts w:hint="eastAsia" w:ascii="Times New Roman" w:hAnsi="Times New Roman" w:cs="Times New Roman"/>
          <w:color w:val="0C0C0C"/>
          <w:kern w:val="21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0C0C0C"/>
          <w:kern w:val="21"/>
          <w:sz w:val="28"/>
          <w:szCs w:val="28"/>
        </w:rPr>
        <w:t>日印发</w:t>
      </w:r>
    </w:p>
    <w:sectPr>
      <w:pgSz w:w="11906" w:h="16838"/>
      <w:pgMar w:top="1701" w:right="1531" w:bottom="1701" w:left="1587" w:header="851" w:footer="992" w:gutter="57"/>
      <w:pgNumType w:fmt="numberInDash"/>
      <w:cols w:space="720" w:num="1"/>
      <w:rtlGutter w:val="0"/>
      <w:docGrid w:type="linesAndChars" w:linePitch="447" w:charSpace="-59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仿宋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0.35pt;width:4.55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WAAAAZHJzL1BLAQIUABQAAAAIAIdO4kC8DhTx&#10;1AAAAAIBAAAPAAAAAAAAAAEAIAAAADgAAABkcnMvZG93bnJldi54bWxQSwECFAAUAAAACACHTuJA&#10;whVCJ9YBAACgAwAADgAAAAAAAAABACAAAAA5AQAAZHJzL2Uyb0RvYy54bWxQSwUGAAAAAAYABgBZ&#10;AQAAgQ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仿宋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aGmCS9MAAAAF&#10;AQAADwAAAAAAAAABACAAAAA4AAAAZHJzL2Rvd25yZXYueG1sUEsBAhQAFAAAAAgAh07iQAHHfF/S&#10;AQAAowMAAA4AAAAAAAAAAQAgAAAAOAEAAGRycy9lMm9Eb2MueG1sUEsFBgAAAAAGAAYAWQEAAHwF&#10;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0633F"/>
    <w:rsid w:val="14A0633F"/>
    <w:rsid w:val="1C9C196A"/>
    <w:rsid w:val="76BEAA26"/>
    <w:rsid w:val="79FBABC4"/>
    <w:rsid w:val="7B6BE9F5"/>
    <w:rsid w:val="7DBF20D2"/>
    <w:rsid w:val="BDFFC6A8"/>
    <w:rsid w:val="BFFE4A54"/>
    <w:rsid w:val="CE7D32E7"/>
    <w:rsid w:val="D2794122"/>
    <w:rsid w:val="D7F72DC5"/>
    <w:rsid w:val="FEF75659"/>
    <w:rsid w:val="FF7F19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ascii="Times New Roman" w:hAnsi="Times New Roman" w:eastAsia="宋体" w:cs="Times New Roman"/>
      <w:b/>
      <w:kern w:val="44"/>
      <w:sz w:val="44"/>
      <w:szCs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next w:val="1"/>
    <w:qFormat/>
    <w:uiPriority w:val="0"/>
    <w:pPr>
      <w:widowControl w:val="0"/>
      <w:ind w:left="1680"/>
      <w:jc w:val="both"/>
    </w:pPr>
    <w:rPr>
      <w:rFonts w:ascii="黑体" w:hAnsi="Calibri" w:eastAsia="黑体" w:cs="Arial"/>
      <w:kern w:val="2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line="600" w:lineRule="atLeast"/>
      <w:ind w:firstLine="600"/>
    </w:pPr>
    <w:rPr>
      <w:rFonts w:ascii="仿宋_GB2312" w:hAnsi="宋体" w:eastAsia="仿宋_GB2312" w:cs="Times New Roman"/>
      <w:kern w:val="0"/>
      <w:sz w:val="32"/>
      <w:szCs w:val="32"/>
    </w:rPr>
  </w:style>
  <w:style w:type="paragraph" w:customStyle="1" w:styleId="9">
    <w:name w:val="Normal Indent1"/>
    <w:next w:val="3"/>
    <w:qFormat/>
    <w:uiPriority w:val="99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10">
    <w:name w:val="Char"/>
    <w:qFormat/>
    <w:uiPriority w:val="99"/>
    <w:pPr>
      <w:widowControl w:val="0"/>
      <w:adjustRightInd w:val="0"/>
      <w:spacing w:line="360" w:lineRule="auto"/>
      <w:jc w:val="both"/>
    </w:pPr>
    <w:rPr>
      <w:rFonts w:ascii="Times New Roman" w:hAnsi="Times New Roman" w:eastAsia="仿宋_GB2312" w:cs="Times New Roman"/>
      <w:kern w:val="0"/>
      <w:sz w:val="2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1347</Words>
  <Characters>1421</Characters>
  <Lines>0</Lines>
  <Paragraphs>0</Paragraphs>
  <TotalTime>10</TotalTime>
  <ScaleCrop>false</ScaleCrop>
  <LinksUpToDate>false</LinksUpToDate>
  <CharactersWithSpaces>1653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2019-03-24T00:30:00Z</dcterms:created>
  <dc:creator>周秀春</dc:creator>
  <cp:lastModifiedBy>uos</cp:lastModifiedBy>
  <cp:lastPrinted>2024-07-16T23:21:00Z</cp:lastPrinted>
  <dcterms:modified xsi:type="dcterms:W3CDTF">2025-03-17T14:25:52Z</dcterms:modified>
  <dc:title>金经信产业〔2019〕55号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B239AB0AB39A688B70C0D7675F239236_42</vt:lpwstr>
  </property>
</Properties>
</file>