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ind w:firstLine="5840" w:firstLineChars="2000"/>
        <w:jc w:val="right"/>
        <w:rPr>
          <w:rFonts w:hint="default" w:ascii="Times New Roman" w:hAnsi="Times New Roman" w:eastAsia="sans-serif" w:cs="Times New Roman"/>
          <w:i w:val="0"/>
          <w:caps w:val="0"/>
          <w:color w:val="171A1D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bookmarkStart w:id="0" w:name="OLE_LINK2"/>
      <w:r>
        <w:rPr>
          <w:rFonts w:hint="default" w:ascii="Times New Roman" w:hAnsi="Times New Roman" w:eastAsia="sans-serif" w:cs="Times New Roman"/>
          <w:i w:val="0"/>
          <w:caps w:val="0"/>
          <w:color w:val="171A1D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ZJGC03-2024-0003</w:t>
      </w:r>
    </w:p>
    <w:p>
      <w:pPr>
        <w:keepNext w:val="0"/>
        <w:keepLines w:val="0"/>
        <w:widowControl/>
        <w:suppressLineNumbers w:val="0"/>
        <w:ind w:firstLine="12080" w:firstLineChars="2000"/>
        <w:jc w:val="right"/>
        <w:rPr>
          <w:rFonts w:hint="eastAsia" w:ascii="方正小标宋简体" w:hAnsi="方正小标宋简体" w:eastAsia="方正小标宋简体" w:cs="方正小标宋简体"/>
          <w:color w:val="FF0000"/>
          <w:spacing w:val="-20"/>
          <w:w w:val="80"/>
          <w:sz w:val="84"/>
          <w:szCs w:val="8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distribute"/>
        <w:textAlignment w:val="auto"/>
        <w:rPr>
          <w:rFonts w:hint="eastAsia" w:ascii="方正小标宋简体" w:hAnsi="方正小标宋简体" w:eastAsia="方正小标宋简体" w:cs="方正小标宋简体"/>
          <w:color w:val="FF0000"/>
          <w:spacing w:val="-20"/>
          <w:w w:val="80"/>
          <w:sz w:val="84"/>
          <w:szCs w:val="8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FF0000"/>
          <w:spacing w:val="-20"/>
          <w:w w:val="80"/>
          <w:sz w:val="84"/>
          <w:szCs w:val="84"/>
          <w:lang w:eastAsia="zh-CN"/>
        </w:rPr>
        <w:t>金华市经济和信息化局文件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color w:val="FF000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/>
          <w:color w:val="FF0000"/>
          <w:lang w:eastAsia="zh-CN"/>
        </w:rPr>
      </w:pPr>
      <w:r>
        <w:rPr>
          <w:rFonts w:hint="default" w:ascii="Times New Roman" w:hAnsi="Times New Roman" w:eastAsia="仿宋_GB2312" w:cs="Times New Roman"/>
          <w:color w:val="0C0C0C"/>
          <w:spacing w:val="0"/>
          <w:kern w:val="21"/>
          <w:sz w:val="32"/>
          <w:szCs w:val="32"/>
          <w:lang w:val="en-US" w:eastAsia="zh-CN"/>
        </w:rPr>
        <w:t>金经信产业〔2024〕115号</w:t>
      </w:r>
      <w:r>
        <w:rPr>
          <w:color w:val="FF0000"/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-8890</wp:posOffset>
                </wp:positionH>
                <wp:positionV relativeFrom="paragraph">
                  <wp:posOffset>466090</wp:posOffset>
                </wp:positionV>
                <wp:extent cx="5686425" cy="0"/>
                <wp:effectExtent l="0" t="9525" r="9525" b="9525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017905" y="2649220"/>
                          <a:ext cx="568642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0.7pt;margin-top:36.7pt;height:0pt;width:447.75pt;z-index:251661312;mso-width-relative:page;mso-height-relative:page;" filled="f" stroked="t" coordsize="21600,21600" o:gfxdata="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FgAAAGRycy9QSwECFAAUAAAACACHTuJA&#10;HIkky9UAAAAIAQAADwAAAAAAAAABACAAAAA4AAAAZHJzL2Rvd25yZXYueG1sUEsBAhQAFAAAAAgA&#10;h07iQFvBqCPZAQAAcAMAAA4AAAAAAAAAAQAgAAAAOgEAAGRycy9lMm9Eb2MueG1sUEsFBgAAAAAG&#10;AAYAWQEAAIUFAAAAAA==&#10;">
                <v:fill on="f" focussize="0,0"/>
                <v:stroke weight="1.5pt" color="#FF0000 [3204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cs="Times New Roman"/>
          <w:color w:val="FF0000"/>
          <w:lang w:eastAsia="zh-CN"/>
        </w:rPr>
      </w:pPr>
      <w:r>
        <w:rPr>
          <w:rFonts w:hint="default" w:ascii="Times New Roman" w:hAnsi="Times New Roman" w:cs="Times New Roman"/>
          <w:color w:val="0C0C0C"/>
          <w:spacing w:val="0"/>
          <w:kern w:val="21"/>
          <w:sz w:val="32"/>
          <w:szCs w:val="32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/>
        <w:jc w:val="center"/>
        <w:textAlignment w:val="auto"/>
        <w:outlineLvl w:val="9"/>
        <w:rPr>
          <w:rFonts w:hint="default" w:ascii="Times New Roman" w:hAnsi="Times New Roman" w:eastAsia="仿宋_GB2312" w:cs="Times New Roman"/>
          <w:color w:val="0C0C0C"/>
          <w:spacing w:val="0"/>
          <w:kern w:val="21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tabs>
          <w:tab w:val="left" w:pos="6361"/>
          <w:tab w:val="right" w:pos="84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right="0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金华市经济和信息化局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leftChars="0" w:right="0" w:righ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w w:val="90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关于印发</w:t>
      </w:r>
      <w:r>
        <w:rPr>
          <w:rFonts w:hint="default" w:ascii="Times New Roman" w:hAnsi="Times New Roman" w:eastAsia="方正小标宋简体" w:cs="Times New Roman"/>
          <w:w w:val="90"/>
          <w:sz w:val="44"/>
          <w:szCs w:val="44"/>
        </w:rPr>
        <w:t>《</w:t>
      </w: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  <w:t>金华市区“亩均领跑者”奖励资金管理实施细则</w:t>
      </w:r>
      <w:r>
        <w:rPr>
          <w:rFonts w:hint="default" w:ascii="Times New Roman" w:hAnsi="Times New Roman" w:eastAsia="方正小标宋简体" w:cs="Times New Roman"/>
          <w:w w:val="90"/>
          <w:sz w:val="44"/>
          <w:szCs w:val="44"/>
        </w:rPr>
        <w:t>》的通知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right="0"/>
        <w:jc w:val="center"/>
        <w:textAlignment w:val="auto"/>
        <w:rPr>
          <w:rFonts w:hint="default" w:ascii="Times New Roman" w:hAnsi="Times New Roman" w:eastAsia="方正小标宋简体" w:cs="Times New Roman"/>
          <w:w w:val="90"/>
          <w:sz w:val="36"/>
          <w:szCs w:val="36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right="0"/>
        <w:jc w:val="left"/>
        <w:textAlignment w:val="auto"/>
        <w:rPr>
          <w:rFonts w:hint="default" w:ascii="Times New Roman" w:hAnsi="Times New Roman" w:eastAsia="仿宋_GB2312" w:cs="Times New Roman"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婺城区经商局、金义新区经信局、金华经济技术开发区经济发展部：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right="0" w:firstLine="584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为贯彻落实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金华市人民政府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关于加快推进新型工业化的政策意见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》（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金政发〔2024〕6号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）文件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精神，特制定本实施细则。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现印发给你们，请认真贯彻执行。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right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0" w:right="0" w:firstLine="584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0" w:right="0" w:firstLine="584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  金华市经济和信息化局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0" w:right="0" w:firstLine="584" w:firstLineChars="200"/>
        <w:jc w:val="left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小标宋简体" w:cs="Times New Roman"/>
          <w:w w:val="90"/>
          <w:sz w:val="44"/>
          <w:szCs w:val="44"/>
        </w:rPr>
        <w:br w:type="page"/>
      </w:r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leftChars="0" w:right="0" w:righ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  <w:t>金华市区“亩均领跑者”奖励资金管理实施细则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Chars="0" w:right="0" w:rightChars="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Chars="0" w:right="0" w:rightChars="0" w:firstLine="584" w:firstLineChars="200"/>
        <w:textAlignment w:val="auto"/>
        <w:rPr>
          <w:rFonts w:hint="default" w:ascii="Times New Roman" w:hAnsi="Times New Roman" w:eastAsia="黑体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黑体" w:cs="Times New Roman"/>
          <w:kern w:val="2"/>
          <w:sz w:val="32"/>
          <w:szCs w:val="32"/>
          <w:highlight w:val="none"/>
          <w:lang w:val="en-US" w:eastAsia="zh-CN" w:bidi="ar-SA"/>
        </w:rPr>
        <w:t>一、奖励对象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Chars="0" w:right="0" w:rightChars="0" w:firstLine="584" w:firstLineChars="200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在金华市区范围内工商登记注册的制造业企业。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Chars="0" w:right="0" w:rightChars="0" w:firstLine="584" w:firstLineChars="200"/>
        <w:textAlignment w:val="auto"/>
        <w:rPr>
          <w:rFonts w:hint="default" w:ascii="Times New Roman" w:hAnsi="Times New Roman" w:eastAsia="黑体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黑体" w:cs="Times New Roman"/>
          <w:kern w:val="2"/>
          <w:sz w:val="32"/>
          <w:szCs w:val="32"/>
          <w:highlight w:val="none"/>
          <w:lang w:val="en-US" w:eastAsia="zh-CN" w:bidi="ar-SA"/>
        </w:rPr>
        <w:t>二、奖励条款和条件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Chars="0" w:right="0" w:rightChars="0" w:firstLine="584" w:firstLineChars="200"/>
        <w:textAlignment w:val="auto"/>
        <w:rPr>
          <w:rFonts w:hint="default" w:ascii="Times New Roman" w:hAnsi="Times New Roman" w:eastAsia="楷体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楷体_GB2312" w:cs="Times New Roman"/>
          <w:kern w:val="2"/>
          <w:sz w:val="32"/>
          <w:szCs w:val="32"/>
          <w:highlight w:val="none"/>
          <w:lang w:val="en-US" w:eastAsia="zh-CN" w:bidi="ar-SA"/>
        </w:rPr>
        <w:t>（一）奖励条款：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Chars="0" w:right="0" w:rightChars="0" w:firstLine="584" w:firstLineChars="200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根据企业亩均效益评选亩均领跑者，对市区前三的企业，分别奖励50万元、30万元、20万元。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Chars="0" w:right="0" w:rightChars="0" w:firstLine="584" w:firstLineChars="200"/>
        <w:textAlignment w:val="auto"/>
        <w:rPr>
          <w:rFonts w:hint="default" w:ascii="Times New Roman" w:hAnsi="Times New Roman" w:eastAsia="楷体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楷体_GB2312" w:cs="Times New Roman"/>
          <w:kern w:val="2"/>
          <w:sz w:val="32"/>
          <w:szCs w:val="32"/>
          <w:highlight w:val="none"/>
          <w:lang w:val="en-US" w:eastAsia="zh-CN" w:bidi="ar-SA"/>
        </w:rPr>
        <w:t>（二）奖励条件：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Chars="0" w:right="0" w:rightChars="0" w:firstLine="584" w:firstLineChars="200"/>
        <w:textAlignment w:val="auto"/>
        <w:rPr>
          <w:rFonts w:hint="default" w:ascii="Times New Roman" w:hAnsi="Times New Roman" w:eastAsia="仿宋_GB2312" w:cs="Times New Roman"/>
          <w:b w:val="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kern w:val="2"/>
          <w:sz w:val="32"/>
          <w:szCs w:val="32"/>
          <w:highlight w:val="none"/>
          <w:lang w:val="en-US" w:eastAsia="zh-CN" w:bidi="ar-SA"/>
        </w:rPr>
        <w:t>1.申请主体：应为市区当年度参评主体；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Chars="0" w:right="0" w:rightChars="0" w:firstLine="584" w:firstLineChars="200"/>
        <w:textAlignment w:val="auto"/>
        <w:rPr>
          <w:rFonts w:hint="default" w:ascii="Times New Roman" w:hAnsi="Times New Roman" w:eastAsia="仿宋_GB2312" w:cs="Times New Roman"/>
          <w:b w:val="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kern w:val="2"/>
          <w:sz w:val="32"/>
          <w:szCs w:val="32"/>
          <w:highlight w:val="none"/>
          <w:lang w:val="en-US" w:eastAsia="zh-CN" w:bidi="ar-SA"/>
        </w:rPr>
        <w:t>2.奖励企业需同时满足以下条件：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Chars="0" w:right="0" w:rightChars="0" w:firstLine="584" w:firstLineChars="200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（1）当年度亩均效益综合评价A类企业；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Chars="0" w:right="0" w:rightChars="0" w:firstLine="584" w:firstLineChars="200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（2）规模以上制造业企业；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Chars="0" w:right="0" w:rightChars="0" w:firstLine="584" w:firstLineChars="200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（3）实际用地面积不低于25亩；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Chars="0" w:right="0" w:rightChars="0" w:firstLine="584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（4）对外出租面积不得超过登记面积的20%。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leftChars="0" w:right="0" w:rightChars="0" w:firstLine="584" w:firstLineChars="200"/>
        <w:textAlignment w:val="auto"/>
        <w:rPr>
          <w:rFonts w:hint="default" w:ascii="Times New Roman" w:hAnsi="Times New Roman" w:eastAsia="黑体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highlight w:val="none"/>
          <w:lang w:val="en-US" w:eastAsia="zh-CN" w:bidi="ar-SA"/>
        </w:rPr>
        <w:t>三</w:t>
      </w:r>
      <w:r>
        <w:rPr>
          <w:rFonts w:hint="default" w:ascii="Times New Roman" w:hAnsi="Times New Roman" w:eastAsia="黑体" w:cs="Times New Roman"/>
          <w:kern w:val="2"/>
          <w:sz w:val="32"/>
          <w:szCs w:val="32"/>
          <w:highlight w:val="none"/>
          <w:lang w:val="en-US" w:eastAsia="zh-CN" w:bidi="ar-SA"/>
        </w:rPr>
        <w:t>、评选程序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leftChars="0" w:right="0" w:rightChars="0" w:firstLine="584" w:firstLineChars="200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楷体_GB2312" w:cs="Times New Roman"/>
          <w:kern w:val="2"/>
          <w:sz w:val="32"/>
          <w:szCs w:val="32"/>
          <w:highlight w:val="none"/>
          <w:lang w:val="en-US" w:eastAsia="zh-CN" w:bidi="ar-SA"/>
        </w:rPr>
        <w:t>（一）申报。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市区“亩均领跑者”奖励由市经信局组织申报。由企业填写《金华市区“亩均领跑者”奖励资金申请表》（见附件）并上报相关材料，区经商（发）局审核企业亩均税收及用地数据，评定后择优推荐3家企业报送市经信局，项目申报和市、区经信部门审核均应登录</w:t>
      </w:r>
      <w:r>
        <w:rPr>
          <w:rFonts w:hint="default" w:ascii="Times New Roman" w:hAnsi="Times New Roman" w:eastAsia="仿宋_GB2312" w:cs="Times New Roman"/>
          <w:sz w:val="32"/>
          <w:szCs w:val="32"/>
        </w:rPr>
        <w:t>“金华市财政补助资金管理系统”（http://czbz.czj.jinhua.gov.cn）网上平台操作。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leftChars="0" w:right="0" w:rightChars="0" w:firstLine="584" w:firstLineChars="200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楷体_GB2312" w:cs="Times New Roman"/>
          <w:kern w:val="2"/>
          <w:sz w:val="32"/>
          <w:szCs w:val="32"/>
          <w:highlight w:val="none"/>
          <w:lang w:val="en-US" w:eastAsia="zh-CN" w:bidi="ar-SA"/>
        </w:rPr>
        <w:t>（二）复核。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市经信局或由市经信局组织第三方审计机构对相关材料进行审核，择优推荐，形成奖励名单。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leftChars="0" w:right="0" w:rightChars="0" w:firstLine="584" w:firstLineChars="200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楷体_GB2312" w:cs="Times New Roman"/>
          <w:kern w:val="2"/>
          <w:sz w:val="32"/>
          <w:szCs w:val="32"/>
          <w:highlight w:val="none"/>
          <w:lang w:val="en-US" w:eastAsia="zh-CN" w:bidi="ar-SA"/>
        </w:rPr>
        <w:t>（三）公示。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结果在市经信局网站上予以公示，公示期满后无异议的按程序报市经信局党委审批，审定批准后下达奖励资金文件，市、区财政局按财政体制各自承担相关资金。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Chars="0" w:right="0" w:rightChars="0" w:firstLine="584" w:firstLineChars="200"/>
        <w:textAlignment w:val="auto"/>
        <w:rPr>
          <w:rFonts w:hint="default" w:ascii="Times New Roman" w:hAnsi="Times New Roman" w:eastAsia="黑体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highlight w:val="none"/>
          <w:lang w:val="en-US" w:eastAsia="zh-CN" w:bidi="ar-SA"/>
        </w:rPr>
        <w:t>四</w:t>
      </w:r>
      <w:r>
        <w:rPr>
          <w:rFonts w:hint="default" w:ascii="Times New Roman" w:hAnsi="Times New Roman" w:eastAsia="黑体" w:cs="Times New Roman"/>
          <w:kern w:val="2"/>
          <w:sz w:val="32"/>
          <w:szCs w:val="32"/>
          <w:highlight w:val="none"/>
          <w:lang w:val="en-US" w:eastAsia="zh-CN" w:bidi="ar-SA"/>
        </w:rPr>
        <w:t>、监督和检查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leftChars="0" w:right="0" w:rightChars="0" w:firstLine="640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cs="Times New Roman"/>
          <w:kern w:val="2"/>
          <w:sz w:val="32"/>
          <w:szCs w:val="32"/>
          <w:highlight w:val="none"/>
          <w:lang w:val="en-US" w:eastAsia="zh-CN" w:bidi="ar-SA"/>
        </w:rPr>
        <w:t>（一）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各区经信、财政部门</w:t>
      </w:r>
      <w:r>
        <w:rPr>
          <w:rFonts w:hint="default" w:ascii="Times New Roman" w:hAnsi="Times New Roman" w:cs="Times New Roman"/>
          <w:kern w:val="2"/>
          <w:sz w:val="32"/>
          <w:szCs w:val="32"/>
          <w:highlight w:val="none"/>
          <w:lang w:val="en-US" w:eastAsia="zh-CN" w:bidi="ar-SA"/>
        </w:rPr>
        <w:t>等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要密切配合，负责对申报</w:t>
      </w:r>
      <w:r>
        <w:rPr>
          <w:rFonts w:hint="default" w:ascii="Times New Roman" w:hAnsi="Times New Roman" w:cs="Times New Roman"/>
          <w:kern w:val="2"/>
          <w:sz w:val="32"/>
          <w:szCs w:val="32"/>
          <w:highlight w:val="none"/>
          <w:lang w:val="en-US" w:eastAsia="zh-CN" w:bidi="ar-SA"/>
        </w:rPr>
        <w:t>企业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的真实性、合法性，以及申报材料的可靠性、完整性进行查证核实，确保申报材料真实、可靠、完整。同时，加强对</w:t>
      </w:r>
      <w:r>
        <w:rPr>
          <w:rFonts w:hint="default" w:ascii="Times New Roman" w:hAnsi="Times New Roman" w:cs="Times New Roman"/>
          <w:kern w:val="2"/>
          <w:sz w:val="32"/>
          <w:szCs w:val="32"/>
          <w:highlight w:val="none"/>
          <w:lang w:val="en-US" w:eastAsia="zh-CN" w:bidi="ar-SA"/>
        </w:rPr>
        <w:t>申报企业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的工作指导和监督检查。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leftChars="0" w:right="0" w:rightChars="0" w:firstLine="640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cs="Times New Roman"/>
          <w:kern w:val="2"/>
          <w:sz w:val="32"/>
          <w:szCs w:val="32"/>
          <w:highlight w:val="none"/>
          <w:lang w:val="en-US" w:eastAsia="zh-CN" w:bidi="ar-SA"/>
        </w:rPr>
        <w:t>（二）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严禁各种违规行为。</w:t>
      </w:r>
      <w:r>
        <w:rPr>
          <w:rFonts w:hint="default" w:ascii="Times New Roman" w:hAnsi="Times New Roman" w:cs="Times New Roman"/>
          <w:kern w:val="2"/>
          <w:sz w:val="32"/>
          <w:szCs w:val="32"/>
          <w:highlight w:val="none"/>
          <w:lang w:val="en-US" w:eastAsia="zh-CN" w:bidi="ar-SA"/>
        </w:rPr>
        <w:t>申报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过程中，发现</w:t>
      </w:r>
      <w:r>
        <w:rPr>
          <w:rFonts w:hint="default" w:ascii="Times New Roman" w:hAnsi="Times New Roman" w:cs="Times New Roman"/>
          <w:kern w:val="2"/>
          <w:sz w:val="32"/>
          <w:szCs w:val="32"/>
          <w:highlight w:val="none"/>
          <w:lang w:val="en-US" w:eastAsia="zh-CN" w:bidi="ar-SA"/>
        </w:rPr>
        <w:t>申报企业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存在弄虚作假现象，一经查实，3年内不得申报和享受</w:t>
      </w:r>
      <w:r>
        <w:rPr>
          <w:rFonts w:hint="default" w:ascii="Times New Roman" w:hAnsi="Times New Roman" w:cs="Times New Roman"/>
          <w:kern w:val="2"/>
          <w:sz w:val="32"/>
          <w:szCs w:val="32"/>
          <w:highlight w:val="none"/>
          <w:lang w:val="en-US" w:eastAsia="zh-CN" w:bidi="ar-SA"/>
        </w:rPr>
        <w:t>金华市区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“亩均领跑者”奖励资金及其他政策优惠。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Chars="0" w:right="0" w:rightChars="0" w:firstLine="584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eastAsia="zh-CN"/>
        </w:rPr>
        <w:t>五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附则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leftChars="0" w:right="0" w:rightChars="0" w:firstLine="640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cs="Times New Roman"/>
          <w:kern w:val="2"/>
          <w:sz w:val="32"/>
          <w:szCs w:val="32"/>
          <w:highlight w:val="none"/>
          <w:lang w:val="en-US" w:eastAsia="zh-CN" w:bidi="ar-SA"/>
        </w:rPr>
        <w:t>其他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政策与本政策不一致的，奖励</w:t>
      </w:r>
      <w:r>
        <w:rPr>
          <w:rFonts w:hint="default" w:ascii="Times New Roman" w:hAnsi="Times New Roman" w:cs="Times New Roman"/>
          <w:kern w:val="2"/>
          <w:sz w:val="32"/>
          <w:szCs w:val="32"/>
          <w:highlight w:val="none"/>
          <w:lang w:val="en-US" w:eastAsia="zh-CN" w:bidi="ar-SA"/>
        </w:rPr>
        <w:t>项目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相同部分以本政策为准，同一项目只能享受一次奖励，不能重复享受。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leftChars="0" w:right="0" w:rightChars="0" w:firstLine="640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本实施</w:t>
      </w:r>
      <w:r>
        <w:rPr>
          <w:rFonts w:hint="default" w:ascii="Times New Roman" w:hAnsi="Times New Roman" w:cs="Times New Roman"/>
          <w:kern w:val="2"/>
          <w:sz w:val="32"/>
          <w:szCs w:val="32"/>
          <w:highlight w:val="none"/>
          <w:lang w:val="en-US" w:eastAsia="zh-CN" w:bidi="ar-SA"/>
        </w:rPr>
        <w:t>细则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自</w:t>
      </w:r>
      <w:r>
        <w:rPr>
          <w:rFonts w:hint="eastAsia" w:ascii="Times New Roman" w:hAnsi="Times New Roman" w:cs="Times New Roman"/>
          <w:kern w:val="2"/>
          <w:sz w:val="32"/>
          <w:szCs w:val="32"/>
          <w:highlight w:val="none"/>
          <w:lang w:val="en-US" w:eastAsia="zh-CN" w:bidi="ar-SA"/>
        </w:rPr>
        <w:t>8月23日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起</w:t>
      </w:r>
      <w:r>
        <w:rPr>
          <w:rFonts w:hint="eastAsia" w:ascii="Times New Roman" w:hAnsi="Times New Roman" w:cs="Times New Roman"/>
          <w:kern w:val="2"/>
          <w:sz w:val="32"/>
          <w:szCs w:val="32"/>
          <w:highlight w:val="none"/>
          <w:lang w:val="en-US" w:eastAsia="zh-CN" w:bidi="ar-SA"/>
        </w:rPr>
        <w:t>施行</w:t>
      </w:r>
      <w:bookmarkStart w:id="1" w:name="_GoBack"/>
      <w:bookmarkEnd w:id="1"/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，由金华市经济和信息化局负责解释。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leftChars="0" w:right="0" w:rightChars="0" w:firstLine="640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leftChars="0" w:right="0" w:rightChars="0" w:firstLine="584" w:firstLineChars="200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附件：1.金华市区</w:t>
      </w:r>
      <w:r>
        <w:rPr>
          <w:rFonts w:hint="default" w:ascii="Times New Roman" w:hAnsi="Times New Roman" w:cs="Times New Roman"/>
          <w:kern w:val="2"/>
          <w:sz w:val="32"/>
          <w:szCs w:val="32"/>
          <w:highlight w:val="none"/>
          <w:lang w:val="en-US" w:eastAsia="zh-CN" w:bidi="ar-SA"/>
        </w:rPr>
        <w:t>“亩均领跑者”奖励资金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申请表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Chars="0" w:right="0" w:rightChars="0" w:firstLine="1460" w:firstLineChars="500"/>
        <w:textAlignment w:val="auto"/>
        <w:rPr>
          <w:rFonts w:hint="default" w:ascii="Times New Roman" w:hAnsi="Times New Roman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cs="Times New Roman"/>
          <w:kern w:val="2"/>
          <w:sz w:val="32"/>
          <w:szCs w:val="32"/>
          <w:highlight w:val="none"/>
          <w:lang w:val="en-US" w:eastAsia="zh-CN" w:bidi="ar-SA"/>
        </w:rPr>
        <w:t>2.指标定义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黑体" w:cs="Times New Roman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黑体" w:cs="Times New Roman"/>
          <w:sz w:val="28"/>
          <w:szCs w:val="28"/>
          <w:highlight w:val="none"/>
          <w:lang w:eastAsia="zh-CN"/>
        </w:rP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600" w:lineRule="exact"/>
        <w:ind w:right="0" w:rightChars="0"/>
        <w:rPr>
          <w:rFonts w:hint="default" w:ascii="Times New Roman" w:hAnsi="Times New Roman" w:eastAsia="黑体" w:cs="Times New Roman"/>
          <w:sz w:val="32"/>
          <w:szCs w:val="32"/>
          <w:highlight w:val="none"/>
          <w:shd w:val="clear" w:color="auto" w:fill="FFFFFF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eastAsia="zh-CN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1</w:t>
      </w:r>
    </w:p>
    <w:p>
      <w:pPr>
        <w:keepNext w:val="0"/>
        <w:keepLines w:val="0"/>
        <w:pageBreakBefore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600" w:lineRule="exact"/>
        <w:ind w:right="0" w:rightChars="0"/>
        <w:jc w:val="center"/>
        <w:rPr>
          <w:rFonts w:hint="default" w:ascii="Times New Roman" w:hAnsi="Times New Roman" w:eastAsia="方正小标宋简体" w:cs="Times New Roman"/>
          <w:spacing w:val="-12"/>
          <w:sz w:val="44"/>
          <w:szCs w:val="44"/>
          <w:highlight w:val="none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pacing w:val="-12"/>
          <w:sz w:val="44"/>
          <w:szCs w:val="44"/>
          <w:highlight w:val="none"/>
          <w:shd w:val="clear" w:color="auto" w:fill="FFFFFF"/>
          <w:lang w:val="en-US" w:eastAsia="zh-CN"/>
        </w:rPr>
        <w:t>金华市区“亩均领跑者”奖励资金申请表</w:t>
      </w:r>
    </w:p>
    <w:p>
      <w:pPr>
        <w:keepNext w:val="0"/>
        <w:keepLines w:val="0"/>
        <w:pageBreakBefore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600" w:lineRule="exact"/>
        <w:ind w:right="0" w:rightChars="0"/>
        <w:jc w:val="center"/>
        <w:rPr>
          <w:rFonts w:hint="default" w:ascii="Times New Roman" w:hAnsi="Times New Roman" w:cs="Times New Roman"/>
          <w:bCs/>
          <w:spacing w:val="-12"/>
          <w:sz w:val="28"/>
          <w:szCs w:val="28"/>
          <w:highlight w:val="none"/>
          <w:shd w:val="clear" w:color="auto" w:fill="FFFFFF"/>
        </w:rPr>
      </w:pPr>
      <w:r>
        <w:rPr>
          <w:rFonts w:hint="default" w:ascii="Times New Roman" w:hAnsi="Times New Roman" w:cs="Times New Roman"/>
          <w:bCs/>
          <w:spacing w:val="-12"/>
          <w:sz w:val="28"/>
          <w:szCs w:val="28"/>
          <w:highlight w:val="none"/>
          <w:shd w:val="clear" w:color="auto" w:fill="FFFFFF"/>
        </w:rPr>
        <w:t>（          ）</w:t>
      </w:r>
      <w:r>
        <w:rPr>
          <w:rFonts w:hint="default" w:ascii="Times New Roman" w:hAnsi="Times New Roman" w:cs="Times New Roman"/>
          <w:bCs/>
          <w:spacing w:val="-12"/>
          <w:sz w:val="28"/>
          <w:szCs w:val="28"/>
          <w:highlight w:val="none"/>
          <w:shd w:val="clear" w:color="auto" w:fill="FFFFFF"/>
          <w:lang w:eastAsia="zh-CN"/>
        </w:rPr>
        <w:t>年度</w:t>
      </w:r>
    </w:p>
    <w:tbl>
      <w:tblPr>
        <w:tblStyle w:val="7"/>
        <w:tblW w:w="8818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81"/>
        <w:gridCol w:w="1343"/>
        <w:gridCol w:w="1410"/>
        <w:gridCol w:w="1442"/>
        <w:gridCol w:w="2"/>
        <w:gridCol w:w="1327"/>
        <w:gridCol w:w="1613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7" w:hRule="atLeast"/>
          <w:jc w:val="center"/>
        </w:trPr>
        <w:tc>
          <w:tcPr>
            <w:tcW w:w="1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  <w:t>企业名称（盖章）</w:t>
            </w:r>
          </w:p>
        </w:tc>
        <w:tc>
          <w:tcPr>
            <w:tcW w:w="134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  <w:t>　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  <w:t>地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  <w:t>址</w:t>
            </w:r>
          </w:p>
        </w:tc>
        <w:tc>
          <w:tcPr>
            <w:tcW w:w="14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  <w:t>　</w:t>
            </w:r>
          </w:p>
        </w:tc>
        <w:tc>
          <w:tcPr>
            <w:tcW w:w="1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  <w:t>纳税识别号</w:t>
            </w:r>
          </w:p>
        </w:tc>
        <w:tc>
          <w:tcPr>
            <w:tcW w:w="16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7" w:hRule="atLeast"/>
          <w:jc w:val="center"/>
        </w:trPr>
        <w:tc>
          <w:tcPr>
            <w:tcW w:w="1681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  <w:t>法人代表</w:t>
            </w:r>
          </w:p>
        </w:tc>
        <w:tc>
          <w:tcPr>
            <w:tcW w:w="1343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  <w:t>　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  <w:t>联系电话</w:t>
            </w:r>
          </w:p>
        </w:tc>
        <w:tc>
          <w:tcPr>
            <w:tcW w:w="1444" w:type="dxa"/>
            <w:gridSpan w:val="2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  <w:t>　</w:t>
            </w:r>
          </w:p>
        </w:tc>
        <w:tc>
          <w:tcPr>
            <w:tcW w:w="1327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  <w:t>手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  <w:t>机</w:t>
            </w:r>
          </w:p>
        </w:tc>
        <w:tc>
          <w:tcPr>
            <w:tcW w:w="1613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2" w:hRule="atLeast"/>
          <w:jc w:val="center"/>
        </w:trPr>
        <w:tc>
          <w:tcPr>
            <w:tcW w:w="168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  <w:t>联系人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  <w:t>　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  <w:t>联系电话</w:t>
            </w:r>
          </w:p>
        </w:tc>
        <w:tc>
          <w:tcPr>
            <w:tcW w:w="1444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  <w:t>　</w:t>
            </w:r>
          </w:p>
        </w:tc>
        <w:tc>
          <w:tcPr>
            <w:tcW w:w="1327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  <w:t>手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  <w:t>机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9" w:hRule="atLeast"/>
          <w:jc w:val="center"/>
        </w:trPr>
        <w:tc>
          <w:tcPr>
            <w:tcW w:w="168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  <w:t>登记用地面积</w:t>
            </w:r>
          </w:p>
        </w:tc>
        <w:tc>
          <w:tcPr>
            <w:tcW w:w="13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</w:pPr>
          </w:p>
        </w:tc>
        <w:tc>
          <w:tcPr>
            <w:tcW w:w="14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val="en-US" w:eastAsia="zh-CN"/>
              </w:rPr>
              <w:t>承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  <w:t>租用地面积</w:t>
            </w:r>
          </w:p>
        </w:tc>
        <w:tc>
          <w:tcPr>
            <w:tcW w:w="14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</w:pPr>
          </w:p>
        </w:tc>
        <w:tc>
          <w:tcPr>
            <w:tcW w:w="1329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  <w:t>出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val="en-US" w:eastAsia="zh-CN"/>
              </w:rPr>
              <w:t>租用地面积</w:t>
            </w:r>
          </w:p>
        </w:tc>
        <w:tc>
          <w:tcPr>
            <w:tcW w:w="16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19" w:hRule="atLeast"/>
          <w:jc w:val="center"/>
        </w:trPr>
        <w:tc>
          <w:tcPr>
            <w:tcW w:w="168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  <w:t>实际用地面积</w:t>
            </w:r>
          </w:p>
        </w:tc>
        <w:tc>
          <w:tcPr>
            <w:tcW w:w="13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</w:pPr>
          </w:p>
        </w:tc>
        <w:tc>
          <w:tcPr>
            <w:tcW w:w="14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  <w:t>申报年度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  <w:t>利润总额</w:t>
            </w:r>
          </w:p>
        </w:tc>
        <w:tc>
          <w:tcPr>
            <w:tcW w:w="14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</w:pPr>
          </w:p>
        </w:tc>
        <w:tc>
          <w:tcPr>
            <w:tcW w:w="1329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  <w:t>亩均税收</w:t>
            </w:r>
          </w:p>
        </w:tc>
        <w:tc>
          <w:tcPr>
            <w:tcW w:w="16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2" w:hRule="atLeast"/>
          <w:jc w:val="center"/>
        </w:trPr>
        <w:tc>
          <w:tcPr>
            <w:tcW w:w="16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  <w:t>区经信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  <w:t>部门初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  <w:t>审意见</w:t>
            </w:r>
          </w:p>
        </w:tc>
        <w:tc>
          <w:tcPr>
            <w:tcW w:w="275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 w:firstLine="424" w:firstLineChars="20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val="en-US" w:eastAsia="zh-CN"/>
              </w:rPr>
              <w:t xml:space="preserve">       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 w:firstLine="424" w:firstLineChars="20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val="en-US" w:eastAsia="zh-CN"/>
              </w:rPr>
              <w:t xml:space="preserve">     月     日</w:t>
            </w:r>
          </w:p>
        </w:tc>
        <w:tc>
          <w:tcPr>
            <w:tcW w:w="144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  <w:t>区财政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  <w:t>部门初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  <w:t>审意见</w:t>
            </w:r>
          </w:p>
        </w:tc>
        <w:tc>
          <w:tcPr>
            <w:tcW w:w="294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 w:firstLine="424" w:firstLineChars="20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val="en-US" w:eastAsia="zh-CN"/>
              </w:rPr>
              <w:t xml:space="preserve">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 w:firstLine="424" w:firstLineChars="20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val="en-US" w:eastAsia="zh-CN"/>
              </w:rPr>
              <w:t xml:space="preserve">     月   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2" w:hRule="atLeast"/>
          <w:jc w:val="center"/>
        </w:trPr>
        <w:tc>
          <w:tcPr>
            <w:tcW w:w="16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  <w:t>市经信局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  <w:t>审核意见</w:t>
            </w:r>
          </w:p>
        </w:tc>
        <w:tc>
          <w:tcPr>
            <w:tcW w:w="7137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 w:firstLine="424" w:firstLineChars="20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val="en-US" w:eastAsia="zh-CN"/>
              </w:rPr>
              <w:t xml:space="preserve">            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 w:firstLine="424" w:firstLineChars="20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val="en-US" w:eastAsia="zh-CN"/>
              </w:rPr>
              <w:t xml:space="preserve">              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val="en-US" w:eastAsia="zh-CN"/>
              </w:rPr>
              <w:t xml:space="preserve">     月     日</w:t>
            </w:r>
          </w:p>
        </w:tc>
      </w:tr>
    </w:tbl>
    <w:p>
      <w:pPr>
        <w:rPr>
          <w:rFonts w:hint="default" w:ascii="Times New Roman" w:hAnsi="Times New Roman" w:eastAsia="黑体" w:cs="Times New Roman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黑体" w:cs="Times New Roman"/>
          <w:sz w:val="28"/>
          <w:szCs w:val="28"/>
          <w:highlight w:val="none"/>
          <w:lang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600" w:lineRule="exact"/>
        <w:ind w:right="0" w:rightChars="0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eastAsia="zh-CN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600" w:lineRule="exact"/>
        <w:ind w:right="0" w:rightChars="0"/>
        <w:jc w:val="center"/>
        <w:textAlignment w:val="auto"/>
        <w:rPr>
          <w:rFonts w:hint="default" w:ascii="Times New Roman" w:hAnsi="Times New Roman" w:eastAsia="方正小标宋简体" w:cs="Times New Roman"/>
          <w:spacing w:val="-12"/>
          <w:sz w:val="44"/>
          <w:szCs w:val="44"/>
          <w:highlight w:val="none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pacing w:val="-12"/>
          <w:sz w:val="44"/>
          <w:szCs w:val="44"/>
          <w:highlight w:val="none"/>
          <w:shd w:val="clear" w:color="auto" w:fill="FFFFFF"/>
          <w:lang w:val="en-US" w:eastAsia="zh-CN"/>
        </w:rPr>
        <w:t>指标定义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84" w:firstLineChars="200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leftChars="0" w:right="0" w:rightChars="0" w:firstLine="584" w:firstLineChars="200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实际用地面积：指年末企业实际占用的土地面积。用地面积=已登记用地面积+承租用地面积-出租用地面积。其中：1.已登记用地面积：是指企业经自然资源部门登记的土地面积；2.承租用地面积：是指企业依法租赁取得的实际用地面积，若企业租赁标准厂房或无法准确计算用地面积，则根据企业租赁的建筑面积与容积率之比计算企业租赁的用地面积；3.出租用地面积：是指工业企业依法将自用土地或厂房出租给其他企业的用地面积；4.经批准的项目新增土地面积在2年建设期、1年过渡期内可不计入用地面积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leftChars="0" w:right="0" w:rightChars="0" w:firstLine="584" w:firstLineChars="200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sectPr>
          <w:footerReference r:id="rId3" w:type="default"/>
          <w:footerReference r:id="rId4" w:type="even"/>
          <w:pgSz w:w="11906" w:h="16838"/>
          <w:pgMar w:top="1701" w:right="1531" w:bottom="1701" w:left="1587" w:header="851" w:footer="992" w:gutter="57"/>
          <w:pgNumType w:fmt="numberInDash"/>
          <w:cols w:space="0" w:num="1"/>
          <w:rtlGutter w:val="0"/>
          <w:docGrid w:type="linesAndChars" w:linePitch="447" w:charSpace="-5933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52" w:firstLineChars="100"/>
        <w:textAlignment w:val="auto"/>
        <w:rPr>
          <w:rFonts w:hint="default" w:ascii="Times New Roman" w:hAnsi="Times New Roman" w:eastAsia="仿宋_GB2312" w:cs="Times New Roman"/>
          <w:color w:val="0C0C0C"/>
          <w:kern w:val="21"/>
          <w:sz w:val="28"/>
          <w:szCs w:val="28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0C0C0C"/>
          <w:kern w:val="21"/>
          <w:sz w:val="28"/>
          <w:szCs w:val="28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0C0C0C"/>
          <w:kern w:val="21"/>
          <w:sz w:val="28"/>
          <w:szCs w:val="28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0C0C0C"/>
          <w:kern w:val="21"/>
          <w:sz w:val="28"/>
          <w:szCs w:val="28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0C0C0C"/>
          <w:kern w:val="21"/>
          <w:sz w:val="28"/>
          <w:szCs w:val="28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0C0C0C"/>
          <w:kern w:val="21"/>
          <w:sz w:val="28"/>
          <w:szCs w:val="28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0C0C0C"/>
          <w:kern w:val="21"/>
          <w:sz w:val="28"/>
          <w:szCs w:val="28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0C0C0C"/>
          <w:kern w:val="21"/>
          <w:sz w:val="28"/>
          <w:szCs w:val="28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0C0C0C"/>
          <w:kern w:val="21"/>
          <w:sz w:val="28"/>
          <w:szCs w:val="28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0C0C0C"/>
          <w:kern w:val="21"/>
          <w:sz w:val="28"/>
          <w:szCs w:val="28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0C0C0C"/>
          <w:kern w:val="21"/>
          <w:sz w:val="28"/>
          <w:szCs w:val="28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0C0C0C"/>
          <w:kern w:val="21"/>
          <w:sz w:val="28"/>
          <w:szCs w:val="28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0C0C0C"/>
          <w:kern w:val="21"/>
          <w:sz w:val="28"/>
          <w:szCs w:val="28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0C0C0C"/>
          <w:kern w:val="21"/>
          <w:sz w:val="28"/>
          <w:szCs w:val="28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0C0C0C"/>
          <w:kern w:val="21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52" w:firstLineChars="100"/>
        <w:textAlignment w:val="auto"/>
        <w:rPr>
          <w:rFonts w:hint="default" w:ascii="Times New Roman" w:hAnsi="Times New Roman" w:eastAsia="仿宋_GB2312" w:cs="Times New Roman"/>
          <w:color w:val="0C0C0C"/>
          <w:kern w:val="21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52" w:firstLineChars="100"/>
        <w:textAlignment w:val="auto"/>
        <w:rPr>
          <w:rFonts w:hint="default" w:ascii="Times New Roman" w:hAnsi="Times New Roman" w:eastAsia="仿宋_GB2312" w:cs="Times New Roman"/>
          <w:color w:val="0C0C0C"/>
          <w:kern w:val="21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52" w:firstLineChars="100"/>
        <w:textAlignment w:val="auto"/>
        <w:rPr>
          <w:rFonts w:hint="default" w:ascii="Times New Roman" w:hAnsi="Times New Roman" w:eastAsia="仿宋_GB2312" w:cs="Times New Roman"/>
          <w:color w:val="0C0C0C"/>
          <w:kern w:val="21"/>
          <w:sz w:val="28"/>
          <w:szCs w:val="28"/>
        </w:rPr>
      </w:pPr>
    </w:p>
    <w:p>
      <w:pPr>
        <w:pStyle w:val="10"/>
        <w:rPr>
          <w:rFonts w:hint="default" w:ascii="Times New Roman" w:hAnsi="Times New Roman" w:eastAsia="仿宋_GB2312" w:cs="Times New Roman"/>
          <w:color w:val="0C0C0C"/>
          <w:kern w:val="21"/>
          <w:sz w:val="28"/>
          <w:szCs w:val="28"/>
        </w:rPr>
      </w:pPr>
    </w:p>
    <w:p>
      <w:pPr>
        <w:pStyle w:val="10"/>
        <w:rPr>
          <w:rFonts w:hint="default" w:ascii="Times New Roman" w:hAnsi="Times New Roman" w:eastAsia="仿宋_GB2312" w:cs="Times New Roman"/>
          <w:color w:val="0C0C0C"/>
          <w:kern w:val="21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52" w:firstLineChars="100"/>
        <w:textAlignment w:val="auto"/>
        <w:rPr>
          <w:rFonts w:hint="default" w:ascii="Times New Roman" w:hAnsi="Times New Roman" w:eastAsia="仿宋_GB2312" w:cs="Times New Roman"/>
          <w:color w:val="0C0C0C"/>
          <w:kern w:val="21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252" w:firstLineChars="1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_GB2312" w:cs="Times New Roman"/>
          <w:color w:val="0C0C0C"/>
          <w:kern w:val="2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-84455</wp:posOffset>
                </wp:positionH>
                <wp:positionV relativeFrom="paragraph">
                  <wp:posOffset>12700</wp:posOffset>
                </wp:positionV>
                <wp:extent cx="5800725" cy="1905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true">
                          <a:off x="934085" y="9135745"/>
                          <a:ext cx="5800725" cy="190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000000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6.65pt;margin-top:1pt;height:0.15pt;width:456.75pt;z-index:251659264;mso-width-relative:page;mso-height-relative:page;" filled="f" stroked="t" coordsize="21600,21600" o:gfxdata="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FgAAAGRycy9QSwECFAAUAAAACACHTuJARbB+k9QAAAAHAQAADwAAAAAAAAABACAAAAA4AAAAZHJz&#10;L2Rvd25yZXYueG1sUEsBAhQAFAAAAAgAh07iQCeMQMLyAQAArgMAAA4AAAAAAAAAAQAgAAAAOQEA&#10;AGRycy9lMm9Eb2MueG1sUEsFBgAAAAAGAAYAWQEAAJ0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仿宋_GB2312" w:cs="Times New Roman"/>
          <w:color w:val="0C0C0C"/>
          <w:kern w:val="2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-105410</wp:posOffset>
                </wp:positionH>
                <wp:positionV relativeFrom="paragraph">
                  <wp:posOffset>435610</wp:posOffset>
                </wp:positionV>
                <wp:extent cx="5831205" cy="0"/>
                <wp:effectExtent l="0" t="0" r="0" b="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902335" y="9591040"/>
                          <a:ext cx="583120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000000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8.3pt;margin-top:34.3pt;height:0pt;width:459.15pt;z-index:251658240;mso-width-relative:page;mso-height-relative:page;" filled="f" stroked="t" coordsize="21600,21600" o:gfxdata="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FgAAAGRycy9QSwEC&#10;FAAUAAAACACHTuJAMHuZ0tYAAAAJAQAADwAAAAAAAAABACAAAAA4AAAAZHJzL2Rvd25yZXYueG1s&#10;UEsBAhQAFAAAAAgAh07iQNvCaxjkAQAAngMAAA4AAAAAAAAAAQAgAAAAOwEAAGRycy9lMm9Eb2Mu&#10;eG1sUEsFBgAAAAAGAAYAWQEAAJE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仿宋_GB2312" w:cs="Times New Roman"/>
          <w:color w:val="0C0C0C"/>
          <w:kern w:val="21"/>
          <w:sz w:val="28"/>
          <w:szCs w:val="28"/>
        </w:rPr>
        <w:t xml:space="preserve">金华市经济和信息化局办公室     </w:t>
      </w:r>
      <w:r>
        <w:rPr>
          <w:rFonts w:hint="default" w:ascii="Times New Roman" w:hAnsi="Times New Roman" w:eastAsia="仿宋_GB2312" w:cs="Times New Roman"/>
          <w:color w:val="0C0C0C"/>
          <w:kern w:val="21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0C0C0C"/>
          <w:kern w:val="21"/>
          <w:sz w:val="28"/>
          <w:szCs w:val="28"/>
          <w:lang w:val="en-US" w:eastAsia="zh-CN"/>
        </w:rPr>
        <w:t xml:space="preserve">         </w:t>
      </w:r>
      <w:r>
        <w:rPr>
          <w:rFonts w:hint="default" w:ascii="Times New Roman" w:hAnsi="Times New Roman" w:eastAsia="仿宋_GB2312" w:cs="Times New Roman"/>
          <w:color w:val="0C0C0C"/>
          <w:kern w:val="21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C0C0C"/>
          <w:kern w:val="21"/>
          <w:sz w:val="28"/>
          <w:szCs w:val="28"/>
        </w:rPr>
        <w:t xml:space="preserve">  202</w:t>
      </w:r>
      <w:r>
        <w:rPr>
          <w:rFonts w:hint="default" w:ascii="Times New Roman" w:hAnsi="Times New Roman" w:cs="Times New Roman"/>
          <w:color w:val="0C0C0C"/>
          <w:kern w:val="21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0C0C0C"/>
          <w:kern w:val="21"/>
          <w:sz w:val="28"/>
          <w:szCs w:val="28"/>
        </w:rPr>
        <w:t>年</w:t>
      </w:r>
      <w:r>
        <w:rPr>
          <w:rFonts w:hint="default" w:ascii="Times New Roman" w:hAnsi="Times New Roman" w:eastAsia="仿宋_GB2312" w:cs="Times New Roman"/>
          <w:color w:val="0C0C0C"/>
          <w:kern w:val="21"/>
          <w:sz w:val="28"/>
          <w:szCs w:val="28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0C0C0C"/>
          <w:kern w:val="21"/>
          <w:sz w:val="28"/>
          <w:szCs w:val="28"/>
        </w:rPr>
        <w:t>月</w:t>
      </w:r>
      <w:r>
        <w:rPr>
          <w:rFonts w:hint="eastAsia" w:ascii="Times New Roman" w:hAnsi="Times New Roman" w:cs="Times New Roman"/>
          <w:color w:val="0C0C0C"/>
          <w:kern w:val="21"/>
          <w:sz w:val="28"/>
          <w:szCs w:val="28"/>
          <w:lang w:val="en-US" w:eastAsia="zh-CN"/>
        </w:rPr>
        <w:t>22</w:t>
      </w:r>
      <w:r>
        <w:rPr>
          <w:rFonts w:hint="default" w:ascii="Times New Roman" w:hAnsi="Times New Roman" w:eastAsia="仿宋_GB2312" w:cs="Times New Roman"/>
          <w:color w:val="0C0C0C"/>
          <w:kern w:val="21"/>
          <w:sz w:val="28"/>
          <w:szCs w:val="28"/>
        </w:rPr>
        <w:t>日印发</w:t>
      </w:r>
    </w:p>
    <w:sectPr>
      <w:pgSz w:w="11906" w:h="16838"/>
      <w:pgMar w:top="1701" w:right="1531" w:bottom="1701" w:left="1587" w:header="851" w:footer="992" w:gutter="57"/>
      <w:pgNumType w:fmt="numberInDash"/>
      <w:cols w:space="720" w:num="1"/>
      <w:rtlGutter w:val="0"/>
      <w:docGrid w:type="linesAndChars" w:linePitch="447" w:charSpace="-593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ans-serif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仿宋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0.35pt;width:4.55pt;mso-position-horizontal:outside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BYAAABkcnMvUEsBAhQAFAAAAAgAh07iQLwOFPHUAAAAAgEAAA8AAAAAAAAAAQAgAAAA&#10;OAAAAGRycy9kb3ducmV2LnhtbFBLAQIUABQAAAAIAIdO4kDxW9q5wAEAAFkDAAAOAAAAAAAAAAEA&#10;IAAAADkBAABkcnMvZTJvRG9jLnhtbFBLBQYAAAAABgAGAFkBAABrBQAA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仿宋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FgAAAGRycy9QSwECFAAUAAAACACHTuJAaGmCS9MAAAAFAQAADwAAAAAAAAABACAAAAA4AAAA&#10;ZHJzL2Rvd25yZXYueG1sUEsBAhQAFAAAAAgAh07iQHJSRK+9AQAAXAMAAA4AAAAAAAAAAQAgAAAA&#10;OAEAAGRycy9lMm9Eb2MueG1sUEsFBgAAAAAGAAYAWQEAAGc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PAGE 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A0633F"/>
    <w:rsid w:val="14A0633F"/>
    <w:rsid w:val="1C9C196A"/>
    <w:rsid w:val="76BEAA26"/>
    <w:rsid w:val="7B6BE9F5"/>
    <w:rsid w:val="7DBF20D2"/>
    <w:rsid w:val="BDFFC6A8"/>
    <w:rsid w:val="BFFE4A54"/>
    <w:rsid w:val="CE7D32E7"/>
    <w:rsid w:val="D2794122"/>
    <w:rsid w:val="D7F72DC5"/>
    <w:rsid w:val="FEF75659"/>
    <w:rsid w:val="FF7F19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rFonts w:ascii="Times New Roman" w:hAnsi="Times New Roman" w:eastAsia="宋体" w:cs="Times New Roman"/>
      <w:b/>
      <w:kern w:val="44"/>
      <w:sz w:val="44"/>
      <w:szCs w:val="24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index 5"/>
    <w:next w:val="1"/>
    <w:qFormat/>
    <w:uiPriority w:val="0"/>
    <w:pPr>
      <w:widowControl w:val="0"/>
      <w:ind w:left="1680"/>
      <w:jc w:val="both"/>
    </w:pPr>
    <w:rPr>
      <w:rFonts w:ascii="黑体" w:hAnsi="Calibri" w:eastAsia="黑体" w:cs="Arial"/>
      <w:kern w:val="2"/>
      <w:sz w:val="32"/>
      <w:szCs w:val="32"/>
      <w:lang w:val="en-US" w:eastAsia="zh-CN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sz w:val="18"/>
      <w:szCs w:val="18"/>
    </w:rPr>
  </w:style>
  <w:style w:type="paragraph" w:styleId="6">
    <w:name w:val="Normal (Web)"/>
    <w:basedOn w:val="1"/>
    <w:qFormat/>
    <w:uiPriority w:val="99"/>
    <w:pPr>
      <w:widowControl/>
      <w:spacing w:line="600" w:lineRule="atLeast"/>
      <w:ind w:firstLine="600"/>
    </w:pPr>
    <w:rPr>
      <w:rFonts w:ascii="仿宋_GB2312" w:hAnsi="宋体" w:eastAsia="仿宋_GB2312" w:cs="Times New Roman"/>
      <w:kern w:val="0"/>
      <w:sz w:val="32"/>
      <w:szCs w:val="32"/>
    </w:rPr>
  </w:style>
  <w:style w:type="paragraph" w:customStyle="1" w:styleId="9">
    <w:name w:val="Normal Indent1"/>
    <w:next w:val="3"/>
    <w:qFormat/>
    <w:uiPriority w:val="99"/>
    <w:pPr>
      <w:widowControl w:val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customStyle="1" w:styleId="10">
    <w:name w:val="Char"/>
    <w:qFormat/>
    <w:uiPriority w:val="99"/>
    <w:pPr>
      <w:widowControl w:val="0"/>
      <w:adjustRightInd w:val="0"/>
      <w:spacing w:line="360" w:lineRule="auto"/>
      <w:jc w:val="both"/>
    </w:pPr>
    <w:rPr>
      <w:rFonts w:ascii="Times New Roman" w:hAnsi="Times New Roman" w:eastAsia="仿宋_GB2312" w:cs="Times New Roman"/>
      <w:kern w:val="0"/>
      <w:sz w:val="24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1347</Words>
  <Characters>1421</Characters>
  <Lines>0</Lines>
  <Paragraphs>0</Paragraphs>
  <TotalTime>10</TotalTime>
  <ScaleCrop>false</ScaleCrop>
  <LinksUpToDate>false</LinksUpToDate>
  <CharactersWithSpaces>1653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2019-03-23T16:30:00Z</dcterms:created>
  <dc:creator>周秀春</dc:creator>
  <cp:lastModifiedBy>uos</cp:lastModifiedBy>
  <cp:lastPrinted>2024-07-16T15:21:00Z</cp:lastPrinted>
  <dcterms:modified xsi:type="dcterms:W3CDTF">2024-07-22T17:33:32Z</dcterms:modified>
  <dc:title>金经信产业〔2019〕55号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