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250" w:type="dxa"/>
        <w:jc w:val="center"/>
        <w:tblLayout w:type="fixed"/>
        <w:tblCellMar>
          <w:top w:w="0" w:type="dxa"/>
          <w:left w:w="0" w:type="dxa"/>
          <w:bottom w:w="0" w:type="dxa"/>
          <w:right w:w="0" w:type="dxa"/>
        </w:tblCellMar>
      </w:tblPr>
      <w:tblGrid>
        <w:gridCol w:w="492"/>
        <w:gridCol w:w="1390"/>
        <w:gridCol w:w="1476"/>
        <w:gridCol w:w="3265"/>
        <w:gridCol w:w="2627"/>
      </w:tblGrid>
      <w:tr w14:paraId="26988EC0">
        <w:tblPrEx>
          <w:tblCellMar>
            <w:top w:w="0" w:type="dxa"/>
            <w:left w:w="0" w:type="dxa"/>
            <w:bottom w:w="0" w:type="dxa"/>
            <w:right w:w="0" w:type="dxa"/>
          </w:tblCellMar>
        </w:tblPrEx>
        <w:trPr>
          <w:trHeight w:val="960" w:hRule="atLeast"/>
          <w:tblHeader/>
          <w:jc w:val="center"/>
        </w:trPr>
        <w:tc>
          <w:tcPr>
            <w:tcW w:w="492"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center"/>
          </w:tcPr>
          <w:p w14:paraId="36B47DF5">
            <w:pPr>
              <w:pStyle w:val="4"/>
              <w:widowControl/>
              <w:spacing w:beforeAutospacing="0" w:afterAutospacing="0" w:line="400" w:lineRule="exact"/>
              <w:jc w:val="center"/>
              <w:textAlignment w:val="center"/>
              <w:rPr>
                <w:rFonts w:ascii="Times New Roman" w:hAnsi="Times New Roman"/>
                <w:sz w:val="21"/>
                <w:szCs w:val="21"/>
              </w:rPr>
            </w:pPr>
            <w:r>
              <w:rPr>
                <w:rFonts w:ascii="Times New Roman" w:hAnsi="Times New Roman" w:eastAsia="黑体"/>
              </w:rPr>
              <w:t>序号</w:t>
            </w:r>
          </w:p>
        </w:tc>
        <w:tc>
          <w:tcPr>
            <w:tcW w:w="1390" w:type="dxa"/>
            <w:tcBorders>
              <w:top w:val="single" w:color="auto" w:sz="6" w:space="0"/>
              <w:left w:val="nil"/>
              <w:bottom w:val="single" w:color="auto" w:sz="6" w:space="0"/>
              <w:right w:val="single" w:color="auto" w:sz="6" w:space="0"/>
            </w:tcBorders>
            <w:noWrap w:val="0"/>
            <w:tcMar>
              <w:left w:w="105" w:type="dxa"/>
              <w:right w:w="105" w:type="dxa"/>
            </w:tcMar>
            <w:vAlign w:val="center"/>
          </w:tcPr>
          <w:p w14:paraId="3C5A07AD">
            <w:pPr>
              <w:pStyle w:val="4"/>
              <w:widowControl/>
              <w:spacing w:beforeAutospacing="0" w:afterAutospacing="0" w:line="400" w:lineRule="exact"/>
              <w:jc w:val="center"/>
              <w:textAlignment w:val="center"/>
              <w:rPr>
                <w:rFonts w:ascii="Times New Roman" w:hAnsi="Times New Roman"/>
                <w:sz w:val="21"/>
                <w:szCs w:val="21"/>
              </w:rPr>
            </w:pPr>
            <w:r>
              <w:rPr>
                <w:rFonts w:ascii="Times New Roman" w:hAnsi="Times New Roman" w:eastAsia="黑体"/>
              </w:rPr>
              <w:t>文件名称</w:t>
            </w:r>
          </w:p>
        </w:tc>
        <w:tc>
          <w:tcPr>
            <w:tcW w:w="1476" w:type="dxa"/>
            <w:tcBorders>
              <w:top w:val="single" w:color="auto" w:sz="6" w:space="0"/>
              <w:left w:val="nil"/>
              <w:bottom w:val="single" w:color="auto" w:sz="6" w:space="0"/>
              <w:right w:val="single" w:color="auto" w:sz="6" w:space="0"/>
            </w:tcBorders>
            <w:noWrap w:val="0"/>
            <w:tcMar>
              <w:left w:w="105" w:type="dxa"/>
              <w:right w:w="105" w:type="dxa"/>
            </w:tcMar>
            <w:vAlign w:val="center"/>
          </w:tcPr>
          <w:p w14:paraId="52468413">
            <w:pPr>
              <w:pStyle w:val="4"/>
              <w:widowControl/>
              <w:spacing w:beforeAutospacing="0" w:afterAutospacing="0" w:line="400" w:lineRule="exact"/>
              <w:jc w:val="center"/>
              <w:textAlignment w:val="center"/>
              <w:rPr>
                <w:rFonts w:ascii="Times New Roman" w:hAnsi="Times New Roman"/>
                <w:sz w:val="21"/>
                <w:szCs w:val="21"/>
              </w:rPr>
            </w:pPr>
            <w:r>
              <w:rPr>
                <w:rFonts w:ascii="Times New Roman" w:hAnsi="Times New Roman" w:eastAsia="黑体"/>
              </w:rPr>
              <w:t>文号</w:t>
            </w:r>
          </w:p>
        </w:tc>
        <w:tc>
          <w:tcPr>
            <w:tcW w:w="3265" w:type="dxa"/>
            <w:tcBorders>
              <w:top w:val="single" w:color="auto" w:sz="6" w:space="0"/>
              <w:left w:val="nil"/>
              <w:bottom w:val="single" w:color="auto" w:sz="6" w:space="0"/>
              <w:right w:val="single" w:color="auto" w:sz="6" w:space="0"/>
            </w:tcBorders>
            <w:noWrap w:val="0"/>
            <w:tcMar>
              <w:left w:w="105" w:type="dxa"/>
              <w:right w:w="105" w:type="dxa"/>
            </w:tcMar>
            <w:vAlign w:val="center"/>
          </w:tcPr>
          <w:p w14:paraId="383C335F">
            <w:pPr>
              <w:pStyle w:val="4"/>
              <w:widowControl/>
              <w:spacing w:beforeAutospacing="0" w:afterAutospacing="0" w:line="400" w:lineRule="exact"/>
              <w:jc w:val="center"/>
              <w:textAlignment w:val="center"/>
              <w:rPr>
                <w:rFonts w:ascii="Times New Roman" w:hAnsi="Times New Roman"/>
                <w:sz w:val="21"/>
                <w:szCs w:val="21"/>
              </w:rPr>
            </w:pPr>
            <w:r>
              <w:rPr>
                <w:rFonts w:ascii="Times New Roman" w:hAnsi="Times New Roman" w:eastAsia="黑体"/>
              </w:rPr>
              <w:t>原条款内容</w:t>
            </w:r>
          </w:p>
        </w:tc>
        <w:tc>
          <w:tcPr>
            <w:tcW w:w="2627" w:type="dxa"/>
            <w:tcBorders>
              <w:top w:val="single" w:color="auto" w:sz="6" w:space="0"/>
              <w:left w:val="nil"/>
              <w:bottom w:val="single" w:color="auto" w:sz="6" w:space="0"/>
              <w:right w:val="single" w:color="auto" w:sz="6" w:space="0"/>
            </w:tcBorders>
            <w:noWrap w:val="0"/>
            <w:tcMar>
              <w:left w:w="105" w:type="dxa"/>
              <w:right w:w="105" w:type="dxa"/>
            </w:tcMar>
            <w:vAlign w:val="center"/>
          </w:tcPr>
          <w:p w14:paraId="15F44DED">
            <w:pPr>
              <w:pStyle w:val="4"/>
              <w:widowControl/>
              <w:spacing w:beforeAutospacing="0" w:afterAutospacing="0" w:line="400" w:lineRule="exact"/>
              <w:jc w:val="center"/>
              <w:textAlignment w:val="center"/>
              <w:rPr>
                <w:rFonts w:ascii="Times New Roman" w:hAnsi="Times New Roman"/>
                <w:sz w:val="21"/>
                <w:szCs w:val="21"/>
              </w:rPr>
            </w:pPr>
            <w:r>
              <w:rPr>
                <w:rFonts w:ascii="Times New Roman" w:hAnsi="Times New Roman" w:eastAsia="黑体"/>
              </w:rPr>
              <w:t>修改后条款内容</w:t>
            </w:r>
          </w:p>
        </w:tc>
      </w:tr>
      <w:tr w14:paraId="48CB0A37">
        <w:tblPrEx>
          <w:tblCellMar>
            <w:top w:w="0" w:type="dxa"/>
            <w:left w:w="0" w:type="dxa"/>
            <w:bottom w:w="0" w:type="dxa"/>
            <w:right w:w="0" w:type="dxa"/>
          </w:tblCellMar>
        </w:tblPrEx>
        <w:trPr>
          <w:trHeight w:val="7641" w:hRule="atLeast"/>
          <w:jc w:val="center"/>
        </w:trPr>
        <w:tc>
          <w:tcPr>
            <w:tcW w:w="492"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B1E5AFB">
            <w:pPr>
              <w:pStyle w:val="4"/>
              <w:widowControl/>
              <w:spacing w:beforeAutospacing="0" w:afterAutospacing="0" w:line="400" w:lineRule="exact"/>
              <w:jc w:val="center"/>
              <w:rPr>
                <w:rFonts w:ascii="Times New Roman" w:hAnsi="Times New Roman"/>
              </w:rPr>
            </w:pPr>
            <w:r>
              <w:rPr>
                <w:rFonts w:ascii="Times New Roman" w:hAnsi="Times New Roman"/>
                <w:sz w:val="21"/>
                <w:szCs w:val="21"/>
              </w:rPr>
              <w:t>1</w:t>
            </w:r>
          </w:p>
        </w:tc>
        <w:tc>
          <w:tcPr>
            <w:tcW w:w="1390" w:type="dxa"/>
            <w:tcBorders>
              <w:top w:val="nil"/>
              <w:left w:val="nil"/>
              <w:bottom w:val="single" w:color="auto" w:sz="6" w:space="0"/>
              <w:right w:val="single" w:color="auto" w:sz="6" w:space="0"/>
            </w:tcBorders>
            <w:noWrap w:val="0"/>
            <w:tcMar>
              <w:left w:w="105" w:type="dxa"/>
              <w:right w:w="105" w:type="dxa"/>
            </w:tcMar>
            <w:vAlign w:val="center"/>
          </w:tcPr>
          <w:p w14:paraId="03AA40DA">
            <w:pPr>
              <w:pStyle w:val="4"/>
              <w:widowControl/>
              <w:spacing w:beforeAutospacing="0" w:afterAutospacing="0" w:line="400" w:lineRule="exact"/>
              <w:textAlignment w:val="center"/>
              <w:rPr>
                <w:rFonts w:ascii="Times New Roman" w:hAnsi="Times New Roman"/>
                <w:sz w:val="21"/>
                <w:szCs w:val="21"/>
              </w:rPr>
            </w:pPr>
            <w:r>
              <w:rPr>
                <w:rFonts w:ascii="Times New Roman" w:hAnsi="Times New Roman" w:eastAsia="仿宋_GB2312"/>
              </w:rPr>
              <w:t>关于印发《金华市区建筑施工企业从业人员参加工伤保险实施办法》的通知</w:t>
            </w:r>
          </w:p>
        </w:tc>
        <w:tc>
          <w:tcPr>
            <w:tcW w:w="1476" w:type="dxa"/>
            <w:tcBorders>
              <w:top w:val="nil"/>
              <w:left w:val="nil"/>
              <w:bottom w:val="single" w:color="auto" w:sz="6" w:space="0"/>
              <w:right w:val="single" w:color="auto" w:sz="6" w:space="0"/>
            </w:tcBorders>
            <w:noWrap w:val="0"/>
            <w:tcMar>
              <w:left w:w="105" w:type="dxa"/>
              <w:right w:w="105" w:type="dxa"/>
            </w:tcMar>
            <w:vAlign w:val="center"/>
          </w:tcPr>
          <w:p w14:paraId="700B70CB">
            <w:pPr>
              <w:pStyle w:val="4"/>
              <w:widowControl/>
              <w:spacing w:beforeAutospacing="0" w:afterAutospacing="0" w:line="400" w:lineRule="exact"/>
              <w:textAlignment w:val="center"/>
              <w:rPr>
                <w:rFonts w:ascii="Times New Roman" w:hAnsi="Times New Roman"/>
                <w:sz w:val="21"/>
                <w:szCs w:val="21"/>
              </w:rPr>
            </w:pPr>
            <w:r>
              <w:rPr>
                <w:rFonts w:ascii="Times New Roman" w:hAnsi="Times New Roman" w:eastAsia="仿宋_GB2312"/>
              </w:rPr>
              <w:t>金市劳通〔</w:t>
            </w:r>
            <w:r>
              <w:rPr>
                <w:rFonts w:ascii="Times New Roman" w:hAnsi="Times New Roman"/>
              </w:rPr>
              <w:t>2008</w:t>
            </w:r>
            <w:r>
              <w:rPr>
                <w:rFonts w:ascii="Times New Roman" w:hAnsi="Times New Roman" w:eastAsia="仿宋_GB2312"/>
              </w:rPr>
              <w:t>〕</w:t>
            </w:r>
            <w:r>
              <w:rPr>
                <w:rFonts w:ascii="Times New Roman" w:hAnsi="Times New Roman"/>
              </w:rPr>
              <w:t>49</w:t>
            </w:r>
            <w:r>
              <w:rPr>
                <w:rFonts w:ascii="Times New Roman" w:hAnsi="Times New Roman" w:eastAsia="仿宋_GB2312"/>
              </w:rPr>
              <w:t>号</w:t>
            </w:r>
          </w:p>
        </w:tc>
        <w:tc>
          <w:tcPr>
            <w:tcW w:w="3265" w:type="dxa"/>
            <w:tcBorders>
              <w:top w:val="nil"/>
              <w:left w:val="nil"/>
              <w:bottom w:val="single" w:color="auto" w:sz="6" w:space="0"/>
              <w:right w:val="single" w:color="auto" w:sz="6" w:space="0"/>
            </w:tcBorders>
            <w:noWrap w:val="0"/>
            <w:tcMar>
              <w:left w:w="105" w:type="dxa"/>
              <w:right w:w="105" w:type="dxa"/>
            </w:tcMar>
            <w:vAlign w:val="center"/>
          </w:tcPr>
          <w:p w14:paraId="4B038ABE">
            <w:pPr>
              <w:pStyle w:val="4"/>
              <w:widowControl/>
              <w:spacing w:beforeAutospacing="0" w:afterAutospacing="0" w:line="400" w:lineRule="exact"/>
              <w:textAlignment w:val="center"/>
              <w:rPr>
                <w:rFonts w:ascii="Times New Roman" w:hAnsi="Times New Roman"/>
                <w:sz w:val="21"/>
                <w:szCs w:val="21"/>
              </w:rPr>
            </w:pPr>
            <w:r>
              <w:rPr>
                <w:rFonts w:ascii="Times New Roman" w:hAnsi="Times New Roman" w:eastAsia="仿宋_GB2312"/>
              </w:rPr>
              <w:t>第五条第二款</w:t>
            </w:r>
            <w:r>
              <w:rPr>
                <w:rFonts w:ascii="Times New Roman" w:hAnsi="Times New Roman"/>
                <w:sz w:val="21"/>
                <w:szCs w:val="21"/>
              </w:rPr>
              <w:t> </w:t>
            </w:r>
            <w:r>
              <w:rPr>
                <w:rFonts w:ascii="Times New Roman" w:hAnsi="Times New Roman" w:eastAsia="仿宋_GB2312"/>
              </w:rPr>
              <w:t>建筑施工企业申报的参保职工的工伤保险关系，自申报核定次日起生效。因建设工程需要临时增加或调用的从业人员，其在</w:t>
            </w:r>
            <w:r>
              <w:rPr>
                <w:rFonts w:ascii="Times New Roman" w:hAnsi="Times New Roman"/>
              </w:rPr>
              <w:t>15</w:t>
            </w:r>
            <w:r>
              <w:rPr>
                <w:rFonts w:ascii="Times New Roman" w:hAnsi="Times New Roman" w:eastAsia="仿宋_GB2312"/>
              </w:rPr>
              <w:t>日之内发生工伤事故的，建筑施工企业应在申请工伤认定的同时……。</w:t>
            </w:r>
          </w:p>
          <w:p w14:paraId="70C799CD">
            <w:pPr>
              <w:pStyle w:val="4"/>
              <w:widowControl/>
              <w:spacing w:beforeAutospacing="0" w:afterAutospacing="0" w:line="400" w:lineRule="exact"/>
              <w:textAlignment w:val="center"/>
              <w:rPr>
                <w:rFonts w:ascii="Times New Roman" w:hAnsi="Times New Roman"/>
                <w:sz w:val="21"/>
                <w:szCs w:val="21"/>
              </w:rPr>
            </w:pPr>
            <w:r>
              <w:rPr>
                <w:rFonts w:ascii="Times New Roman" w:hAnsi="Times New Roman" w:eastAsia="仿宋_GB2312"/>
              </w:rPr>
              <w:t>第八条第三款</w:t>
            </w:r>
            <w:r>
              <w:rPr>
                <w:rFonts w:ascii="Times New Roman" w:hAnsi="Times New Roman"/>
                <w:sz w:val="21"/>
                <w:szCs w:val="21"/>
              </w:rPr>
              <w:t> </w:t>
            </w:r>
            <w:r>
              <w:rPr>
                <w:rFonts w:ascii="Times New Roman" w:hAnsi="Times New Roman" w:eastAsia="仿宋_GB2312"/>
              </w:rPr>
              <w:t>五级至十级工伤从业人员在建设项目工伤保险期限内提出与建筑施工企业终止或解除劳动关系的，建筑施工企业应当按有关规定向其支付一次性工伤医疗补助金和伤残就业补助金我，并终止工伤保险关系。</w:t>
            </w:r>
          </w:p>
        </w:tc>
        <w:tc>
          <w:tcPr>
            <w:tcW w:w="2627" w:type="dxa"/>
            <w:tcBorders>
              <w:top w:val="nil"/>
              <w:left w:val="nil"/>
              <w:bottom w:val="single" w:color="auto" w:sz="6" w:space="0"/>
              <w:right w:val="single" w:color="auto" w:sz="6" w:space="0"/>
            </w:tcBorders>
            <w:noWrap w:val="0"/>
            <w:tcMar>
              <w:left w:w="105" w:type="dxa"/>
              <w:right w:w="105" w:type="dxa"/>
            </w:tcMar>
            <w:vAlign w:val="center"/>
          </w:tcPr>
          <w:p w14:paraId="4B7ED3C1">
            <w:pPr>
              <w:pStyle w:val="4"/>
              <w:widowControl/>
              <w:spacing w:beforeAutospacing="0" w:afterAutospacing="0" w:line="400" w:lineRule="exact"/>
              <w:textAlignment w:val="center"/>
              <w:rPr>
                <w:rFonts w:ascii="Times New Roman" w:hAnsi="Times New Roman"/>
                <w:sz w:val="21"/>
                <w:szCs w:val="21"/>
              </w:rPr>
            </w:pPr>
            <w:r>
              <w:rPr>
                <w:rFonts w:ascii="Times New Roman" w:hAnsi="Times New Roman" w:eastAsia="仿宋_GB2312"/>
              </w:rPr>
              <w:t>第五条第二款</w:t>
            </w:r>
            <w:r>
              <w:rPr>
                <w:rFonts w:ascii="Times New Roman" w:hAnsi="Times New Roman"/>
              </w:rPr>
              <w:t>    </w:t>
            </w:r>
            <w:r>
              <w:rPr>
                <w:rFonts w:ascii="Times New Roman" w:hAnsi="Times New Roman" w:eastAsia="仿宋_GB2312"/>
              </w:rPr>
              <w:t>建筑施工企业申报的参保职工的工伤保险关系，自申报核定次日起生效。</w:t>
            </w:r>
          </w:p>
          <w:p w14:paraId="51649394">
            <w:pPr>
              <w:pStyle w:val="4"/>
              <w:widowControl/>
              <w:spacing w:beforeAutospacing="0" w:afterAutospacing="0" w:line="400" w:lineRule="exact"/>
              <w:textAlignment w:val="center"/>
              <w:rPr>
                <w:rFonts w:ascii="Times New Roman" w:hAnsi="Times New Roman"/>
                <w:sz w:val="21"/>
                <w:szCs w:val="21"/>
              </w:rPr>
            </w:pPr>
            <w:r>
              <w:rPr>
                <w:rFonts w:ascii="Times New Roman" w:hAnsi="Times New Roman" w:eastAsia="仿宋_GB2312"/>
              </w:rPr>
              <w:t>第八条第一款第二款第四款删除。</w:t>
            </w:r>
          </w:p>
          <w:p w14:paraId="055B5CF1">
            <w:pPr>
              <w:pStyle w:val="4"/>
              <w:widowControl/>
              <w:spacing w:beforeAutospacing="0" w:afterAutospacing="0" w:line="400" w:lineRule="exact"/>
              <w:textAlignment w:val="center"/>
              <w:rPr>
                <w:rFonts w:ascii="Times New Roman" w:hAnsi="Times New Roman"/>
                <w:sz w:val="21"/>
                <w:szCs w:val="21"/>
              </w:rPr>
            </w:pPr>
            <w:r>
              <w:rPr>
                <w:rFonts w:ascii="Times New Roman" w:hAnsi="Times New Roman" w:eastAsia="仿宋_GB2312"/>
              </w:rPr>
              <w:t>第八条第三款</w:t>
            </w:r>
            <w:r>
              <w:rPr>
                <w:rFonts w:ascii="Times New Roman" w:hAnsi="Times New Roman"/>
              </w:rPr>
              <w:t>    </w:t>
            </w:r>
            <w:r>
              <w:rPr>
                <w:rFonts w:ascii="Times New Roman" w:hAnsi="Times New Roman" w:eastAsia="仿宋_GB2312"/>
              </w:rPr>
              <w:t>五级至十级工伤从业人员在建设项目工伤保险期限内提出与建筑施工企业终止或解除劳动关系的，由工伤保险基金支付一次性工伤医疗补助金，由建筑施工企业支付一次性伤残就业补助金，并终止工伤保险关系。</w:t>
            </w:r>
          </w:p>
        </w:tc>
      </w:tr>
    </w:tbl>
    <w:p w14:paraId="471A35F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00000000"/>
    <w:rsid w:val="219D7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100" w:firstLineChars="100"/>
    </w:pPr>
    <w:rPr>
      <w:rFonts w:ascii="Calibri" w:hAnsi="Calibri" w:eastAsia="宋体" w:cs="Times New Roman"/>
      <w:lang w:bidi="ar-SA"/>
    </w:rPr>
  </w:style>
  <w:style w:type="paragraph" w:styleId="3">
    <w:name w:val="Body Text"/>
    <w:basedOn w:val="1"/>
    <w:next w:val="1"/>
    <w:qFormat/>
    <w:uiPriority w:val="0"/>
    <w:pPr>
      <w:spacing w:before="0" w:after="140" w:line="276" w:lineRule="auto"/>
    </w:p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2024-09-12T09:10:01Z</dcterms:created>
  <dc:creator>admin</dc:creator>
  <cp:lastModifiedBy>玛尔加尼斯</cp:lastModifiedBy>
  <dcterms:modified xsi:type="dcterms:W3CDTF">2024-09-12T09:10:14Z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D28ABF8FE3054F489E142082857A2910_12</vt:lpwstr>
  </property>
</Properties>
</file>