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54437" w14:textId="77777777" w:rsidR="00FD2C55" w:rsidRDefault="00FD2C55">
      <w:pPr>
        <w:jc w:val="center"/>
        <w:rPr>
          <w:rFonts w:eastAsiaTheme="minorEastAsia"/>
          <w:color w:val="000000" w:themeColor="text1"/>
          <w:sz w:val="44"/>
          <w:szCs w:val="44"/>
        </w:rPr>
      </w:pPr>
    </w:p>
    <w:p w14:paraId="0006E1C7" w14:textId="77777777" w:rsidR="00FD2C55" w:rsidRDefault="00FD2C55">
      <w:pPr>
        <w:rPr>
          <w:rFonts w:eastAsiaTheme="minorEastAsia"/>
          <w:color w:val="000000" w:themeColor="text1"/>
          <w:sz w:val="44"/>
          <w:szCs w:val="44"/>
        </w:rPr>
      </w:pPr>
    </w:p>
    <w:p w14:paraId="23104312" w14:textId="77777777" w:rsidR="00FD2C55" w:rsidRDefault="00000000">
      <w:pPr>
        <w:spacing w:line="600" w:lineRule="exact"/>
        <w:jc w:val="center"/>
        <w:rPr>
          <w:rFonts w:eastAsia="方正小标宋简体"/>
          <w:sz w:val="44"/>
          <w:szCs w:val="44"/>
        </w:rPr>
      </w:pPr>
      <w:r>
        <w:rPr>
          <w:rFonts w:eastAsia="方正小标宋简体"/>
          <w:sz w:val="44"/>
          <w:szCs w:val="44"/>
        </w:rPr>
        <w:t>金华市公共汽车客运高质量发展若干规定</w:t>
      </w:r>
    </w:p>
    <w:p w14:paraId="41E9D0B9" w14:textId="77777777" w:rsidR="00FD2C55" w:rsidRDefault="00000000">
      <w:pPr>
        <w:spacing w:line="540" w:lineRule="exact"/>
        <w:jc w:val="center"/>
        <w:rPr>
          <w:rFonts w:eastAsia="楷体_GB2312"/>
          <w:bCs/>
          <w:sz w:val="32"/>
          <w:szCs w:val="32"/>
        </w:rPr>
      </w:pPr>
      <w:r>
        <w:rPr>
          <w:rFonts w:eastAsia="楷体_GB2312"/>
          <w:bCs/>
          <w:sz w:val="32"/>
          <w:szCs w:val="32"/>
        </w:rPr>
        <w:t xml:space="preserve">  </w:t>
      </w:r>
    </w:p>
    <w:p w14:paraId="41F91FC0" w14:textId="06E225B3" w:rsidR="00FD2C55" w:rsidRDefault="00000000">
      <w:pPr>
        <w:spacing w:line="540" w:lineRule="exact"/>
        <w:rPr>
          <w:rFonts w:eastAsia="楷体_GB2312"/>
          <w:bCs/>
          <w:sz w:val="32"/>
          <w:szCs w:val="32"/>
        </w:rPr>
      </w:pPr>
      <w:r>
        <w:rPr>
          <w:rFonts w:eastAsia="楷体_GB2312"/>
          <w:bCs/>
          <w:sz w:val="32"/>
          <w:szCs w:val="32"/>
        </w:rPr>
        <w:t xml:space="preserve">   </w:t>
      </w:r>
      <w:r>
        <w:rPr>
          <w:rFonts w:eastAsia="楷体_GB2312"/>
          <w:bCs/>
          <w:sz w:val="32"/>
          <w:szCs w:val="32"/>
        </w:rPr>
        <w:t>（</w:t>
      </w:r>
      <w:r>
        <w:rPr>
          <w:rFonts w:eastAsia="楷体_GB2312"/>
          <w:bCs/>
          <w:sz w:val="32"/>
          <w:szCs w:val="32"/>
        </w:rPr>
        <w:t>202</w:t>
      </w:r>
      <w:r w:rsidR="00CC206C">
        <w:rPr>
          <w:rFonts w:eastAsia="楷体_GB2312" w:hint="eastAsia"/>
          <w:bCs/>
          <w:sz w:val="32"/>
          <w:szCs w:val="32"/>
        </w:rPr>
        <w:t>6</w:t>
      </w:r>
      <w:r>
        <w:rPr>
          <w:rFonts w:eastAsia="楷体_GB2312"/>
          <w:bCs/>
          <w:sz w:val="32"/>
          <w:szCs w:val="32"/>
        </w:rPr>
        <w:t>年</w:t>
      </w:r>
      <w:r w:rsidR="00CC206C">
        <w:rPr>
          <w:rFonts w:eastAsia="楷体_GB2312" w:hint="eastAsia"/>
          <w:bCs/>
          <w:sz w:val="32"/>
          <w:szCs w:val="32"/>
        </w:rPr>
        <w:t>1</w:t>
      </w:r>
      <w:r>
        <w:rPr>
          <w:rFonts w:eastAsia="楷体_GB2312"/>
          <w:bCs/>
          <w:sz w:val="32"/>
          <w:szCs w:val="32"/>
        </w:rPr>
        <w:t>月</w:t>
      </w:r>
      <w:r w:rsidR="00CC206C">
        <w:rPr>
          <w:rFonts w:eastAsia="楷体_GB2312" w:hint="eastAsia"/>
          <w:bCs/>
          <w:sz w:val="32"/>
          <w:szCs w:val="32"/>
        </w:rPr>
        <w:t>6</w:t>
      </w:r>
      <w:r>
        <w:rPr>
          <w:rFonts w:eastAsia="楷体_GB2312"/>
          <w:bCs/>
          <w:sz w:val="32"/>
          <w:szCs w:val="32"/>
        </w:rPr>
        <w:t>日金华市人民政府令第</w:t>
      </w:r>
      <w:r>
        <w:rPr>
          <w:rFonts w:eastAsia="楷体_GB2312"/>
          <w:bCs/>
          <w:sz w:val="32"/>
          <w:szCs w:val="32"/>
        </w:rPr>
        <w:t>67</w:t>
      </w:r>
      <w:r>
        <w:rPr>
          <w:rFonts w:eastAsia="楷体_GB2312"/>
          <w:bCs/>
          <w:sz w:val="32"/>
          <w:szCs w:val="32"/>
        </w:rPr>
        <w:t>号公布</w:t>
      </w:r>
      <w:r>
        <w:rPr>
          <w:rFonts w:eastAsia="楷体_GB2312"/>
          <w:bCs/>
          <w:sz w:val="32"/>
          <w:szCs w:val="32"/>
        </w:rPr>
        <w:t xml:space="preserve"> </w:t>
      </w:r>
      <w:r>
        <w:rPr>
          <w:rFonts w:eastAsia="楷体_GB2312"/>
          <w:bCs/>
          <w:sz w:val="32"/>
          <w:szCs w:val="32"/>
        </w:rPr>
        <w:t>自</w:t>
      </w:r>
      <w:r>
        <w:rPr>
          <w:rFonts w:eastAsia="楷体_GB2312"/>
          <w:bCs/>
          <w:sz w:val="32"/>
          <w:szCs w:val="32"/>
        </w:rPr>
        <w:t>2026</w:t>
      </w:r>
      <w:r>
        <w:rPr>
          <w:rFonts w:eastAsia="楷体_GB2312"/>
          <w:bCs/>
          <w:sz w:val="32"/>
          <w:szCs w:val="32"/>
        </w:rPr>
        <w:t>年</w:t>
      </w:r>
      <w:r>
        <w:rPr>
          <w:rFonts w:eastAsia="楷体_GB2312"/>
          <w:bCs/>
          <w:sz w:val="32"/>
          <w:szCs w:val="32"/>
        </w:rPr>
        <w:t>3</w:t>
      </w:r>
      <w:r>
        <w:rPr>
          <w:rFonts w:eastAsia="楷体_GB2312"/>
          <w:bCs/>
          <w:sz w:val="32"/>
          <w:szCs w:val="32"/>
        </w:rPr>
        <w:t>月</w:t>
      </w:r>
      <w:r>
        <w:rPr>
          <w:rFonts w:eastAsia="楷体_GB2312"/>
          <w:bCs/>
          <w:sz w:val="32"/>
          <w:szCs w:val="32"/>
        </w:rPr>
        <w:t>1</w:t>
      </w:r>
      <w:r>
        <w:rPr>
          <w:rFonts w:eastAsia="楷体_GB2312"/>
          <w:bCs/>
          <w:sz w:val="32"/>
          <w:szCs w:val="32"/>
        </w:rPr>
        <w:t>日起施行）</w:t>
      </w:r>
    </w:p>
    <w:p w14:paraId="0D43DABA" w14:textId="77777777" w:rsidR="00FD2C55" w:rsidRDefault="00FD2C55">
      <w:pPr>
        <w:spacing w:line="540" w:lineRule="exact"/>
        <w:ind w:firstLineChars="200" w:firstLine="880"/>
        <w:rPr>
          <w:rFonts w:eastAsia="黑体"/>
          <w:sz w:val="44"/>
          <w:szCs w:val="44"/>
        </w:rPr>
      </w:pPr>
    </w:p>
    <w:p w14:paraId="7F2ABA1A" w14:textId="77777777" w:rsidR="00FD2C55" w:rsidRDefault="00000000">
      <w:pPr>
        <w:spacing w:line="600" w:lineRule="exact"/>
        <w:ind w:firstLineChars="200" w:firstLine="640"/>
        <w:rPr>
          <w:rFonts w:eastAsia="仿宋_GB2312"/>
          <w:bCs/>
          <w:sz w:val="32"/>
          <w:szCs w:val="32"/>
        </w:rPr>
      </w:pPr>
      <w:r>
        <w:rPr>
          <w:rFonts w:eastAsia="黑体"/>
          <w:bCs/>
          <w:sz w:val="32"/>
          <w:szCs w:val="32"/>
        </w:rPr>
        <w:t>第一条</w:t>
      </w:r>
      <w:r>
        <w:rPr>
          <w:rFonts w:eastAsia="仿宋_GB2312"/>
          <w:bCs/>
          <w:sz w:val="32"/>
          <w:szCs w:val="32"/>
        </w:rPr>
        <w:t xml:space="preserve">　</w:t>
      </w:r>
      <w:r>
        <w:rPr>
          <w:rFonts w:eastAsia="仿宋_GB2312"/>
          <w:sz w:val="32"/>
          <w:szCs w:val="32"/>
        </w:rPr>
        <w:t>为了规范公共汽车客运活动，提升服务品质，保障运营安全，推动公共汽车客运事业高质量发展，根据《城市公共交通条例》《浙江省道路运输条例》和有关法律法规，结合本市实际，制定本规定。</w:t>
      </w:r>
    </w:p>
    <w:p w14:paraId="253281EA" w14:textId="77777777" w:rsidR="00FD2C55" w:rsidRDefault="00000000">
      <w:pPr>
        <w:spacing w:line="600" w:lineRule="exact"/>
        <w:ind w:firstLineChars="200" w:firstLine="640"/>
        <w:rPr>
          <w:rFonts w:eastAsia="仿宋_GB2312"/>
          <w:bCs/>
          <w:sz w:val="32"/>
          <w:szCs w:val="32"/>
        </w:rPr>
      </w:pPr>
      <w:r>
        <w:rPr>
          <w:rFonts w:eastAsia="黑体"/>
          <w:bCs/>
          <w:sz w:val="32"/>
          <w:szCs w:val="32"/>
        </w:rPr>
        <w:t>第二条</w:t>
      </w:r>
      <w:r>
        <w:rPr>
          <w:rFonts w:eastAsia="仿宋_GB2312"/>
          <w:bCs/>
          <w:sz w:val="32"/>
          <w:szCs w:val="32"/>
        </w:rPr>
        <w:t xml:space="preserve">　</w:t>
      </w:r>
      <w:r>
        <w:rPr>
          <w:rFonts w:eastAsia="仿宋_GB2312"/>
          <w:sz w:val="32"/>
          <w:szCs w:val="32"/>
        </w:rPr>
        <w:t>本市行政区域内公共汽车客运的规划建设、运营服务、规范管理和安全保障等活动，适用本规定。</w:t>
      </w:r>
    </w:p>
    <w:p w14:paraId="1DAEBB43" w14:textId="77777777" w:rsidR="00FD2C55" w:rsidRDefault="00000000">
      <w:pPr>
        <w:spacing w:line="540" w:lineRule="exact"/>
        <w:ind w:firstLineChars="200" w:firstLine="640"/>
        <w:rPr>
          <w:rFonts w:eastAsia="仿宋_GB2312"/>
          <w:sz w:val="32"/>
          <w:szCs w:val="32"/>
        </w:rPr>
      </w:pPr>
      <w:r>
        <w:rPr>
          <w:rFonts w:eastAsia="仿宋_GB2312"/>
          <w:sz w:val="32"/>
          <w:szCs w:val="32"/>
        </w:rPr>
        <w:t>本规定所称公共汽车客运，是指利用公共汽车和有关系统、设施，在市、县（市）人民政府确定的范围内按照核定的线路、站点、票价、班次和时间等运营，为社会公众提供基本出行服务的公益性公共交通方式。</w:t>
      </w:r>
    </w:p>
    <w:p w14:paraId="5352B73B" w14:textId="77777777" w:rsidR="00FD2C55" w:rsidRDefault="00000000">
      <w:pPr>
        <w:spacing w:line="540" w:lineRule="exact"/>
        <w:ind w:firstLineChars="200" w:firstLine="640"/>
        <w:rPr>
          <w:rFonts w:eastAsia="仿宋_GB2312"/>
          <w:sz w:val="32"/>
          <w:szCs w:val="32"/>
        </w:rPr>
      </w:pPr>
      <w:r>
        <w:rPr>
          <w:rFonts w:eastAsia="仿宋_GB2312"/>
          <w:sz w:val="32"/>
          <w:szCs w:val="32"/>
        </w:rPr>
        <w:t>本规定所称公共汽车客运基础设施，是</w:t>
      </w:r>
      <w:proofErr w:type="gramStart"/>
      <w:r>
        <w:rPr>
          <w:rFonts w:eastAsia="仿宋_GB2312"/>
          <w:sz w:val="32"/>
          <w:szCs w:val="32"/>
        </w:rPr>
        <w:t>指保障</w:t>
      </w:r>
      <w:proofErr w:type="gramEnd"/>
      <w:r>
        <w:rPr>
          <w:rFonts w:eastAsia="仿宋_GB2312"/>
          <w:sz w:val="32"/>
          <w:szCs w:val="32"/>
        </w:rPr>
        <w:t>公共汽车客运服务的场站、候车亭、站台、供电线网、智慧设施等。场站包括停车场、维修保养场、枢纽站、首末站、换乘站</w:t>
      </w:r>
      <w:bookmarkStart w:id="0" w:name="ZlinkProofread2"/>
      <w:r>
        <w:rPr>
          <w:rFonts w:eastAsia="仿宋_GB2312"/>
          <w:sz w:val="32"/>
          <w:szCs w:val="32"/>
        </w:rPr>
        <w:t>等</w:t>
      </w:r>
      <w:bookmarkEnd w:id="0"/>
      <w:r>
        <w:rPr>
          <w:rFonts w:eastAsia="仿宋_GB2312"/>
          <w:sz w:val="32"/>
          <w:szCs w:val="32"/>
        </w:rPr>
        <w:t>及其相关设施。</w:t>
      </w:r>
    </w:p>
    <w:p w14:paraId="274C2DA0" w14:textId="77777777" w:rsidR="00FD2C55" w:rsidRDefault="00000000">
      <w:pPr>
        <w:spacing w:line="540" w:lineRule="exact"/>
        <w:ind w:firstLineChars="200" w:firstLine="640"/>
        <w:rPr>
          <w:rFonts w:eastAsia="仿宋_GB2312"/>
          <w:sz w:val="32"/>
          <w:szCs w:val="32"/>
        </w:rPr>
      </w:pPr>
      <w:r>
        <w:rPr>
          <w:rFonts w:eastAsia="黑体"/>
          <w:bCs/>
          <w:sz w:val="32"/>
          <w:szCs w:val="32"/>
        </w:rPr>
        <w:t>第三条</w:t>
      </w:r>
      <w:r>
        <w:rPr>
          <w:rFonts w:eastAsia="仿宋_GB2312"/>
          <w:bCs/>
          <w:sz w:val="32"/>
          <w:szCs w:val="32"/>
        </w:rPr>
        <w:t xml:space="preserve">　</w:t>
      </w:r>
      <w:r>
        <w:rPr>
          <w:rFonts w:eastAsia="仿宋_GB2312"/>
          <w:sz w:val="32"/>
          <w:szCs w:val="32"/>
        </w:rPr>
        <w:t>市、县（市、区）人民政府应当加强对公共汽车客</w:t>
      </w:r>
      <w:r>
        <w:rPr>
          <w:rFonts w:eastAsia="仿宋_GB2312"/>
          <w:sz w:val="32"/>
          <w:szCs w:val="32"/>
        </w:rPr>
        <w:lastRenderedPageBreak/>
        <w:t>运工作的组织领导，将公共汽车客运发展纳入国民经济和社会发展规划，完善基础设施，优化运营结构，在规划、土地、财政、设施建设等方面优先保障公共汽车客运事业发展。</w:t>
      </w:r>
    </w:p>
    <w:p w14:paraId="307F08C6" w14:textId="77777777" w:rsidR="00FD2C55" w:rsidRDefault="00000000">
      <w:pPr>
        <w:spacing w:line="540" w:lineRule="exact"/>
        <w:ind w:firstLineChars="200" w:firstLine="640"/>
        <w:rPr>
          <w:rFonts w:eastAsia="仿宋_GB2312"/>
          <w:sz w:val="32"/>
          <w:szCs w:val="32"/>
        </w:rPr>
      </w:pPr>
      <w:r>
        <w:rPr>
          <w:rFonts w:eastAsia="黑体"/>
          <w:bCs/>
          <w:sz w:val="32"/>
          <w:szCs w:val="32"/>
        </w:rPr>
        <w:t>第四条</w:t>
      </w:r>
      <w:r>
        <w:rPr>
          <w:rFonts w:eastAsia="仿宋_GB2312"/>
          <w:bCs/>
          <w:sz w:val="32"/>
          <w:szCs w:val="32"/>
        </w:rPr>
        <w:t xml:space="preserve">　</w:t>
      </w:r>
      <w:r>
        <w:rPr>
          <w:rFonts w:eastAsia="仿宋_GB2312"/>
          <w:sz w:val="32"/>
          <w:szCs w:val="32"/>
        </w:rPr>
        <w:t>交通运输部门是公共汽车客运主管部门，负责本行政区域内公共汽车客运监督管理工作。</w:t>
      </w:r>
    </w:p>
    <w:p w14:paraId="14806FDF" w14:textId="77777777" w:rsidR="00FD2C55" w:rsidRDefault="00000000">
      <w:pPr>
        <w:spacing w:line="540" w:lineRule="exact"/>
        <w:ind w:firstLineChars="200" w:firstLine="640"/>
        <w:rPr>
          <w:rFonts w:eastAsia="仿宋_GB2312"/>
          <w:sz w:val="32"/>
          <w:szCs w:val="32"/>
        </w:rPr>
      </w:pPr>
      <w:r>
        <w:rPr>
          <w:rFonts w:eastAsia="仿宋_GB2312"/>
          <w:sz w:val="32"/>
          <w:szCs w:val="32"/>
        </w:rPr>
        <w:t>发展改革、公安、财政、自然资源、住房和城乡建设、卫生健康、应急管理、审计、国有资产监督管理、综合行政执法等部门按照各自职责，协同做好相关工作。</w:t>
      </w:r>
    </w:p>
    <w:p w14:paraId="1E506C9F" w14:textId="77777777" w:rsidR="00FD2C55" w:rsidRDefault="00000000">
      <w:pPr>
        <w:spacing w:line="540" w:lineRule="exact"/>
        <w:ind w:firstLineChars="200" w:firstLine="640"/>
        <w:rPr>
          <w:rFonts w:eastAsia="仿宋_GB2312"/>
          <w:sz w:val="32"/>
          <w:szCs w:val="32"/>
        </w:rPr>
      </w:pPr>
      <w:r>
        <w:rPr>
          <w:rFonts w:eastAsia="黑体"/>
          <w:bCs/>
          <w:sz w:val="32"/>
          <w:szCs w:val="32"/>
        </w:rPr>
        <w:t>第五条</w:t>
      </w:r>
      <w:r>
        <w:rPr>
          <w:rFonts w:eastAsia="仿宋_GB2312"/>
          <w:bCs/>
          <w:sz w:val="32"/>
          <w:szCs w:val="32"/>
        </w:rPr>
        <w:t xml:space="preserve">　</w:t>
      </w:r>
      <w:r>
        <w:rPr>
          <w:rFonts w:eastAsia="仿宋_GB2312"/>
          <w:sz w:val="32"/>
          <w:szCs w:val="32"/>
        </w:rPr>
        <w:t>市、县（市）交通运输部门应当会同自然资源、住房和城乡建设、公安等部门编制、修改公共汽车线网规划，报请本级人民政府批准后纳入国土空间规划</w:t>
      </w:r>
      <w:r>
        <w:rPr>
          <w:rFonts w:eastAsia="仿宋_GB2312"/>
          <w:sz w:val="32"/>
          <w:szCs w:val="32"/>
        </w:rPr>
        <w:t>“</w:t>
      </w:r>
      <w:r>
        <w:rPr>
          <w:rFonts w:eastAsia="仿宋_GB2312"/>
          <w:sz w:val="32"/>
          <w:szCs w:val="32"/>
        </w:rPr>
        <w:t>一张图</w:t>
      </w:r>
      <w:r>
        <w:rPr>
          <w:rFonts w:eastAsia="仿宋_GB2312"/>
          <w:sz w:val="32"/>
          <w:szCs w:val="32"/>
        </w:rPr>
        <w:t>”</w:t>
      </w:r>
      <w:r>
        <w:rPr>
          <w:rFonts w:eastAsia="仿宋_GB2312"/>
          <w:sz w:val="32"/>
          <w:szCs w:val="32"/>
        </w:rPr>
        <w:t>。</w:t>
      </w:r>
    </w:p>
    <w:p w14:paraId="0E63C27E" w14:textId="77777777" w:rsidR="00FD2C55" w:rsidRDefault="00000000">
      <w:pPr>
        <w:spacing w:line="540" w:lineRule="exact"/>
        <w:ind w:firstLineChars="200" w:firstLine="640"/>
        <w:rPr>
          <w:rFonts w:eastAsia="仿宋_GB2312"/>
          <w:sz w:val="32"/>
          <w:szCs w:val="32"/>
        </w:rPr>
      </w:pPr>
      <w:r>
        <w:rPr>
          <w:rFonts w:eastAsia="仿宋_GB2312"/>
          <w:sz w:val="32"/>
          <w:szCs w:val="32"/>
        </w:rPr>
        <w:t>编制、修改公共汽车线网规划，应当科学设计线网、场站布局和换乘枢纽、重要交通节点设置，注重公共汽车与铁路、航空、港口、轨道、公共自行车等其他出行方式的衔接协调，并广泛征求相关部门、行业专家和社会公众意见。</w:t>
      </w:r>
    </w:p>
    <w:p w14:paraId="24290E21" w14:textId="77777777" w:rsidR="00FD2C55" w:rsidRDefault="00000000">
      <w:pPr>
        <w:spacing w:line="540" w:lineRule="exact"/>
        <w:ind w:firstLineChars="200" w:firstLine="640"/>
        <w:rPr>
          <w:rFonts w:eastAsia="仿宋_GB2312"/>
          <w:sz w:val="32"/>
          <w:szCs w:val="32"/>
        </w:rPr>
      </w:pPr>
      <w:r>
        <w:rPr>
          <w:rFonts w:eastAsia="黑体"/>
          <w:bCs/>
          <w:sz w:val="32"/>
          <w:szCs w:val="32"/>
        </w:rPr>
        <w:t>第六条</w:t>
      </w:r>
      <w:r>
        <w:rPr>
          <w:rFonts w:eastAsia="仿宋_GB2312"/>
          <w:bCs/>
          <w:sz w:val="32"/>
          <w:szCs w:val="32"/>
        </w:rPr>
        <w:t xml:space="preserve">　</w:t>
      </w:r>
      <w:r>
        <w:rPr>
          <w:rFonts w:eastAsia="仿宋_GB2312"/>
          <w:sz w:val="32"/>
          <w:szCs w:val="32"/>
        </w:rPr>
        <w:t>市、县（市）人民政府</w:t>
      </w:r>
      <w:bookmarkStart w:id="1" w:name="ZlinkProofread3"/>
      <w:r>
        <w:rPr>
          <w:rFonts w:eastAsia="仿宋_GB2312"/>
          <w:sz w:val="32"/>
          <w:szCs w:val="32"/>
        </w:rPr>
        <w:t>应当</w:t>
      </w:r>
      <w:bookmarkEnd w:id="1"/>
      <w:r>
        <w:rPr>
          <w:rFonts w:eastAsia="仿宋_GB2312"/>
          <w:sz w:val="32"/>
          <w:szCs w:val="32"/>
        </w:rPr>
        <w:t>优先保障公共汽车客运基础设施用地。符合规定条件的，可以以划拨、协议出让等方式供给。</w:t>
      </w:r>
    </w:p>
    <w:p w14:paraId="560FBDDC" w14:textId="77777777" w:rsidR="00FD2C55" w:rsidRDefault="00000000">
      <w:pPr>
        <w:spacing w:line="540" w:lineRule="exact"/>
        <w:ind w:firstLineChars="200" w:firstLine="640"/>
        <w:rPr>
          <w:rFonts w:eastAsia="仿宋_GB2312"/>
          <w:sz w:val="32"/>
          <w:szCs w:val="32"/>
        </w:rPr>
      </w:pPr>
      <w:r>
        <w:rPr>
          <w:rFonts w:eastAsia="仿宋_GB2312"/>
          <w:sz w:val="32"/>
          <w:szCs w:val="32"/>
        </w:rPr>
        <w:t>自然资源部门在组织编制国土空间详细规划时，应当根据公共汽车线网规划，落实客运基础设施的用地、范围和控制要求。</w:t>
      </w:r>
    </w:p>
    <w:p w14:paraId="34F391C4" w14:textId="77777777" w:rsidR="00FD2C55" w:rsidRDefault="00000000">
      <w:pPr>
        <w:spacing w:line="540" w:lineRule="exact"/>
        <w:ind w:firstLineChars="200" w:firstLine="640"/>
        <w:rPr>
          <w:rFonts w:eastAsia="仿宋_GB2312"/>
          <w:sz w:val="32"/>
          <w:szCs w:val="32"/>
        </w:rPr>
      </w:pPr>
      <w:r>
        <w:rPr>
          <w:rFonts w:eastAsia="仿宋_GB2312"/>
          <w:sz w:val="32"/>
          <w:szCs w:val="32"/>
        </w:rPr>
        <w:t>国土空间详细规划确定的公共汽车客运基础设施用地，任何单位和个人不得占用或者改变用途。因公共利益确需占用或者改</w:t>
      </w:r>
      <w:r>
        <w:rPr>
          <w:rFonts w:eastAsia="仿宋_GB2312"/>
          <w:sz w:val="32"/>
          <w:szCs w:val="32"/>
        </w:rPr>
        <w:lastRenderedPageBreak/>
        <w:t>变用途的，应当征求交通运输部门意见，并依照有关规定报请批准。对于占用或者改变用途的基础设施，有条件的，可以就近予以安排。</w:t>
      </w:r>
    </w:p>
    <w:p w14:paraId="7F2BD4CE" w14:textId="77777777" w:rsidR="00FD2C55" w:rsidRDefault="00000000">
      <w:pPr>
        <w:spacing w:line="540" w:lineRule="exact"/>
        <w:ind w:firstLineChars="200" w:firstLine="640"/>
        <w:rPr>
          <w:rFonts w:eastAsia="仿宋_GB2312"/>
          <w:sz w:val="32"/>
          <w:szCs w:val="32"/>
        </w:rPr>
      </w:pPr>
      <w:r>
        <w:rPr>
          <w:rFonts w:eastAsia="黑体"/>
          <w:bCs/>
          <w:sz w:val="32"/>
          <w:szCs w:val="32"/>
        </w:rPr>
        <w:t>第七条</w:t>
      </w:r>
      <w:r>
        <w:rPr>
          <w:rFonts w:eastAsia="仿宋_GB2312"/>
          <w:bCs/>
          <w:sz w:val="32"/>
          <w:szCs w:val="32"/>
        </w:rPr>
        <w:t xml:space="preserve">　</w:t>
      </w:r>
      <w:r>
        <w:rPr>
          <w:rFonts w:eastAsia="仿宋_GB2312"/>
          <w:sz w:val="32"/>
          <w:szCs w:val="32"/>
        </w:rPr>
        <w:t>支持依照国家有关规定对公共汽车客运基础设施用地实施综合开发。支持新增公共汽车客运基础设施用地配套一定比例的附属商业等面积。支持在不改变用地性质、优先保障公共汽车服务基本功能的前提下，适当利用场站内闲置设施开展社会化商业服务。</w:t>
      </w:r>
    </w:p>
    <w:p w14:paraId="4F8FE36A" w14:textId="77777777" w:rsidR="00FD2C55" w:rsidRDefault="00000000">
      <w:pPr>
        <w:spacing w:line="540" w:lineRule="exact"/>
        <w:ind w:firstLineChars="200" w:firstLine="640"/>
        <w:rPr>
          <w:rFonts w:eastAsia="仿宋_GB2312"/>
          <w:sz w:val="32"/>
          <w:szCs w:val="32"/>
        </w:rPr>
      </w:pPr>
      <w:r>
        <w:rPr>
          <w:rFonts w:eastAsia="仿宋_GB2312"/>
          <w:sz w:val="32"/>
          <w:szCs w:val="32"/>
        </w:rPr>
        <w:t>公共汽车客运基础设施用地综合开发的收益应当用于公共汽车客运基础设施建设和弥补运营亏损，并接受财政、国有资产监督管理、审计等部门的监督。</w:t>
      </w:r>
    </w:p>
    <w:p w14:paraId="5E1427A8" w14:textId="77777777" w:rsidR="00FD2C55" w:rsidRDefault="00000000">
      <w:pPr>
        <w:spacing w:line="540" w:lineRule="exact"/>
        <w:ind w:firstLineChars="200" w:firstLine="640"/>
        <w:rPr>
          <w:rFonts w:eastAsia="仿宋_GB2312"/>
          <w:sz w:val="32"/>
          <w:szCs w:val="32"/>
        </w:rPr>
      </w:pPr>
      <w:r>
        <w:rPr>
          <w:rFonts w:eastAsia="黑体"/>
          <w:bCs/>
          <w:sz w:val="32"/>
          <w:szCs w:val="32"/>
        </w:rPr>
        <w:t>第八条</w:t>
      </w:r>
      <w:r>
        <w:rPr>
          <w:rFonts w:eastAsia="仿宋_GB2312"/>
          <w:sz w:val="32"/>
          <w:szCs w:val="32"/>
        </w:rPr>
        <w:t xml:space="preserve">　市、县（市、区）人民政府应当根据实际需要安排公共汽车客运事业发展经费，加大对公共汽车客运基础设施建设、维护等方面的资金投入。鼓励和支持社会力量参与公共汽车客运基础设施的建设、维护。</w:t>
      </w:r>
    </w:p>
    <w:p w14:paraId="4642432E" w14:textId="77777777" w:rsidR="00FD2C55" w:rsidRDefault="00000000">
      <w:pPr>
        <w:spacing w:line="540" w:lineRule="exact"/>
        <w:ind w:firstLineChars="200" w:firstLine="640"/>
        <w:rPr>
          <w:rFonts w:eastAsia="仿宋_GB2312"/>
          <w:sz w:val="32"/>
          <w:szCs w:val="32"/>
        </w:rPr>
      </w:pPr>
      <w:r>
        <w:rPr>
          <w:rFonts w:eastAsia="仿宋_GB2312"/>
          <w:sz w:val="32"/>
          <w:szCs w:val="32"/>
        </w:rPr>
        <w:t>交通运输部门应当会同财政、国有资产监督管理等部门建立公共汽车客运成本费用核算制度和补偿、补贴制度。对公共汽车运营单位因执行低于成本票价、政府乘车优惠政策和重大活动保障、经营冷僻线路等指令性任务造成的政策性亏损，应当按照规定及时给予补偿。对公共汽车运营单位车辆购置、基础设施建设、技术改造等方面的投入，应当按照规定及时给予专项补贴。</w:t>
      </w:r>
    </w:p>
    <w:p w14:paraId="77180BCE" w14:textId="77777777" w:rsidR="00FD2C55" w:rsidRDefault="00000000">
      <w:pPr>
        <w:spacing w:line="540" w:lineRule="exact"/>
        <w:ind w:firstLineChars="200" w:firstLine="640"/>
        <w:rPr>
          <w:rFonts w:eastAsia="仿宋_GB2312"/>
          <w:sz w:val="32"/>
          <w:szCs w:val="32"/>
        </w:rPr>
      </w:pPr>
      <w:r>
        <w:rPr>
          <w:rFonts w:eastAsia="黑体"/>
          <w:bCs/>
          <w:sz w:val="32"/>
          <w:szCs w:val="32"/>
        </w:rPr>
        <w:t>第九条</w:t>
      </w:r>
      <w:r>
        <w:rPr>
          <w:rFonts w:eastAsia="仿宋_GB2312"/>
          <w:sz w:val="32"/>
          <w:szCs w:val="32"/>
        </w:rPr>
        <w:t xml:space="preserve">　公共汽车专用车道以及专用时段的设置与调整，应</w:t>
      </w:r>
      <w:r>
        <w:rPr>
          <w:rFonts w:eastAsia="仿宋_GB2312"/>
          <w:sz w:val="32"/>
          <w:szCs w:val="32"/>
        </w:rPr>
        <w:lastRenderedPageBreak/>
        <w:t>当综合考虑城市道路交通流量、出行结构、噪声和尾气控制、技术条件等因素，由属地交通运输部门会同公安、住房和城乡建设部门研究后提出方案，报本级人民政府同意后实施。</w:t>
      </w:r>
    </w:p>
    <w:p w14:paraId="7089E4B4" w14:textId="77777777" w:rsidR="00FD2C55" w:rsidRDefault="00000000">
      <w:pPr>
        <w:spacing w:line="540" w:lineRule="exact"/>
        <w:ind w:firstLineChars="200" w:firstLine="640"/>
        <w:rPr>
          <w:rFonts w:eastAsia="仿宋_GB2312"/>
          <w:sz w:val="32"/>
          <w:szCs w:val="32"/>
        </w:rPr>
      </w:pPr>
      <w:r>
        <w:rPr>
          <w:rFonts w:eastAsia="仿宋_GB2312"/>
          <w:sz w:val="32"/>
          <w:szCs w:val="32"/>
        </w:rPr>
        <w:t>公安机关应当加强对公共汽车专用车道使用的监督管理。在专用时段内，禁止其他车辆通行、违规占用，法律法规另有规定的从其规定。</w:t>
      </w:r>
    </w:p>
    <w:p w14:paraId="7517CBCB" w14:textId="77777777" w:rsidR="00FD2C55" w:rsidRDefault="00000000">
      <w:pPr>
        <w:spacing w:line="540" w:lineRule="exact"/>
        <w:ind w:firstLineChars="200" w:firstLine="640"/>
        <w:rPr>
          <w:rFonts w:eastAsia="仿宋_GB2312"/>
          <w:sz w:val="32"/>
          <w:szCs w:val="32"/>
        </w:rPr>
      </w:pPr>
      <w:r>
        <w:rPr>
          <w:rFonts w:eastAsia="黑体"/>
          <w:bCs/>
          <w:sz w:val="32"/>
          <w:szCs w:val="32"/>
        </w:rPr>
        <w:t>第十条</w:t>
      </w:r>
      <w:r>
        <w:rPr>
          <w:rFonts w:eastAsia="仿宋_GB2312"/>
          <w:sz w:val="32"/>
          <w:szCs w:val="32"/>
        </w:rPr>
        <w:t xml:space="preserve">　市交通运输部门应当会同公安等部门制定公共汽车线路设置标准，明确开辟、调整线路的条件和要求。设置标准应当广泛听取行业专家和社会公众意见。</w:t>
      </w:r>
    </w:p>
    <w:p w14:paraId="2CF21512" w14:textId="77777777" w:rsidR="00FD2C55" w:rsidRDefault="00000000">
      <w:pPr>
        <w:spacing w:line="540" w:lineRule="exact"/>
        <w:ind w:firstLineChars="200" w:firstLine="640"/>
        <w:rPr>
          <w:rFonts w:eastAsia="仿宋_GB2312"/>
          <w:sz w:val="32"/>
          <w:szCs w:val="32"/>
        </w:rPr>
      </w:pPr>
      <w:r>
        <w:rPr>
          <w:rFonts w:eastAsia="仿宋_GB2312"/>
          <w:sz w:val="32"/>
          <w:szCs w:val="32"/>
        </w:rPr>
        <w:t>公共汽车运营单位依据前款标准申请开辟、调整公交线路的，交通运输部门在审批前应当征求公安机关意见，广泛听取公众意见，并向社会公告。涉及公众重大利益的，应当举行听证会。审批完成后，应当向社会公示。</w:t>
      </w:r>
    </w:p>
    <w:p w14:paraId="5E1F23C9" w14:textId="77777777" w:rsidR="00FD2C55" w:rsidRDefault="00000000">
      <w:pPr>
        <w:spacing w:line="540" w:lineRule="exact"/>
        <w:ind w:firstLineChars="200" w:firstLine="640"/>
        <w:rPr>
          <w:rFonts w:eastAsia="仿宋_GB2312"/>
          <w:sz w:val="32"/>
          <w:szCs w:val="32"/>
        </w:rPr>
      </w:pPr>
      <w:r>
        <w:rPr>
          <w:rFonts w:eastAsia="仿宋_GB2312"/>
          <w:sz w:val="32"/>
          <w:szCs w:val="32"/>
        </w:rPr>
        <w:t>公共汽车客运线路需要延伸至毗邻县（市、区）的，由毗邻县（市、区）交通运输部门协商确定。</w:t>
      </w:r>
    </w:p>
    <w:p w14:paraId="6BACC476" w14:textId="77777777" w:rsidR="00FD2C55" w:rsidRDefault="00000000">
      <w:pPr>
        <w:spacing w:line="540" w:lineRule="exact"/>
        <w:ind w:firstLineChars="200" w:firstLine="640"/>
        <w:rPr>
          <w:rFonts w:eastAsia="仿宋_GB2312"/>
          <w:sz w:val="32"/>
          <w:szCs w:val="32"/>
        </w:rPr>
      </w:pPr>
      <w:r>
        <w:rPr>
          <w:rFonts w:eastAsia="黑体"/>
          <w:bCs/>
          <w:sz w:val="32"/>
          <w:szCs w:val="32"/>
        </w:rPr>
        <w:t>第十一条</w:t>
      </w:r>
      <w:r>
        <w:rPr>
          <w:rFonts w:eastAsia="仿宋_GB2312"/>
          <w:sz w:val="32"/>
          <w:szCs w:val="32"/>
        </w:rPr>
        <w:t xml:space="preserve">　公共汽车客运站点的设置、调整应当符合公共汽车线网规划，适应公众基本出行需求，并征求社会公众意见。</w:t>
      </w:r>
    </w:p>
    <w:p w14:paraId="5DF9D907" w14:textId="77777777" w:rsidR="00FD2C55" w:rsidRDefault="00000000">
      <w:pPr>
        <w:spacing w:line="540" w:lineRule="exact"/>
        <w:ind w:firstLineChars="200" w:firstLine="640"/>
        <w:rPr>
          <w:rFonts w:eastAsia="仿宋_GB2312"/>
          <w:sz w:val="32"/>
          <w:szCs w:val="32"/>
        </w:rPr>
      </w:pPr>
      <w:r>
        <w:rPr>
          <w:rFonts w:eastAsia="仿宋_GB2312"/>
          <w:sz w:val="32"/>
          <w:szCs w:val="32"/>
        </w:rPr>
        <w:t>交通运输、住房和城乡建设部门在设置、调整公共汽车客运站点前，应当征求公安机关意见。涉及乡镇、街道、村的，还应当征求乡镇人民政府、街道办事处、村民委员会意见。</w:t>
      </w:r>
    </w:p>
    <w:p w14:paraId="5507CC9D" w14:textId="77777777" w:rsidR="00FD2C55" w:rsidRDefault="00000000">
      <w:pPr>
        <w:spacing w:line="540" w:lineRule="exact"/>
        <w:ind w:firstLineChars="200" w:firstLine="640"/>
        <w:rPr>
          <w:rFonts w:eastAsia="仿宋_GB2312"/>
          <w:sz w:val="32"/>
          <w:szCs w:val="32"/>
        </w:rPr>
      </w:pPr>
      <w:r>
        <w:rPr>
          <w:rFonts w:eastAsia="黑体"/>
          <w:bCs/>
          <w:sz w:val="32"/>
          <w:szCs w:val="32"/>
        </w:rPr>
        <w:t>第十二条</w:t>
      </w:r>
      <w:r>
        <w:rPr>
          <w:rFonts w:eastAsia="仿宋_GB2312"/>
          <w:sz w:val="32"/>
          <w:szCs w:val="32"/>
        </w:rPr>
        <w:t xml:space="preserve">　鼓励公共汽车运营单位回应社会出行需求，提供响应公交、社区公交、预约公交、助学公交、就医公交、旅游公</w:t>
      </w:r>
      <w:r>
        <w:rPr>
          <w:rFonts w:eastAsia="仿宋_GB2312"/>
          <w:sz w:val="32"/>
          <w:szCs w:val="32"/>
        </w:rPr>
        <w:lastRenderedPageBreak/>
        <w:t>交等定制化服务，提升服务质效。</w:t>
      </w:r>
    </w:p>
    <w:p w14:paraId="27419288" w14:textId="77777777" w:rsidR="00FD2C55" w:rsidRDefault="00000000">
      <w:pPr>
        <w:spacing w:line="540" w:lineRule="exact"/>
        <w:ind w:firstLineChars="200" w:firstLine="640"/>
        <w:rPr>
          <w:rFonts w:eastAsia="仿宋_GB2312"/>
          <w:sz w:val="32"/>
          <w:szCs w:val="32"/>
        </w:rPr>
      </w:pPr>
      <w:r>
        <w:rPr>
          <w:rFonts w:eastAsia="仿宋_GB2312"/>
          <w:sz w:val="32"/>
          <w:szCs w:val="32"/>
        </w:rPr>
        <w:t>在不影响运营安全的前提下，公共汽车运营单位可以依法利用场站、车身、车厢内设施开发广告等业务，增加收入。</w:t>
      </w:r>
    </w:p>
    <w:p w14:paraId="199F29AD" w14:textId="77777777" w:rsidR="00FD2C55" w:rsidRDefault="00000000">
      <w:pPr>
        <w:spacing w:line="540" w:lineRule="exact"/>
        <w:ind w:firstLineChars="200" w:firstLine="640"/>
        <w:rPr>
          <w:rFonts w:eastAsia="仿宋_GB2312"/>
          <w:sz w:val="32"/>
          <w:szCs w:val="32"/>
        </w:rPr>
      </w:pPr>
      <w:r>
        <w:rPr>
          <w:rFonts w:eastAsia="仿宋_GB2312"/>
          <w:sz w:val="32"/>
          <w:szCs w:val="32"/>
        </w:rPr>
        <w:t>鼓励公共汽车运营单位主动发布公益广告，弘扬社会主义核心价值观。</w:t>
      </w:r>
    </w:p>
    <w:p w14:paraId="0A0E8327" w14:textId="77777777" w:rsidR="00FD2C55" w:rsidRDefault="00000000">
      <w:pPr>
        <w:spacing w:line="540" w:lineRule="exact"/>
        <w:ind w:firstLineChars="200" w:firstLine="640"/>
        <w:rPr>
          <w:rFonts w:eastAsia="仿宋_GB2312"/>
          <w:sz w:val="32"/>
          <w:szCs w:val="32"/>
        </w:rPr>
      </w:pPr>
      <w:r>
        <w:rPr>
          <w:rFonts w:eastAsia="黑体"/>
          <w:bCs/>
          <w:sz w:val="32"/>
          <w:szCs w:val="32"/>
        </w:rPr>
        <w:t>第十三条</w:t>
      </w:r>
      <w:r>
        <w:rPr>
          <w:rFonts w:eastAsia="仿宋_GB2312"/>
          <w:sz w:val="32"/>
          <w:szCs w:val="32"/>
        </w:rPr>
        <w:t xml:space="preserve">　市、县（市、区）人民政府应当支持公共汽车运营单位加快绿色低碳转型，推广使用新能源车辆，构建清洁低碳的公共汽车客运体系。</w:t>
      </w:r>
    </w:p>
    <w:p w14:paraId="69CA3693" w14:textId="77777777" w:rsidR="00FD2C55" w:rsidRDefault="00000000">
      <w:pPr>
        <w:spacing w:line="540" w:lineRule="exact"/>
        <w:ind w:firstLineChars="200" w:firstLine="640"/>
        <w:rPr>
          <w:rFonts w:eastAsia="仿宋_GB2312"/>
          <w:sz w:val="32"/>
          <w:szCs w:val="32"/>
        </w:rPr>
      </w:pPr>
      <w:r>
        <w:rPr>
          <w:rFonts w:eastAsia="仿宋_GB2312"/>
          <w:sz w:val="32"/>
          <w:szCs w:val="32"/>
        </w:rPr>
        <w:t>市、县（市、区）人民政府应当支持智慧公交建设，推广应用云计算、物联网、人工智能、大数据等现代信息技术，重点建设安全预警、智能化调度、智能驾驶辅助、一体化出行等系统平台，加强交通大数据的归集、共享和开发利用，提升规划、运营、管理、服务能力和水平。</w:t>
      </w:r>
    </w:p>
    <w:p w14:paraId="0D9C8337" w14:textId="77777777" w:rsidR="00FD2C55" w:rsidRDefault="00000000">
      <w:pPr>
        <w:spacing w:line="540" w:lineRule="exact"/>
        <w:ind w:firstLineChars="200" w:firstLine="640"/>
        <w:rPr>
          <w:rFonts w:eastAsia="仿宋_GB2312"/>
          <w:sz w:val="32"/>
          <w:szCs w:val="32"/>
        </w:rPr>
      </w:pPr>
      <w:r>
        <w:rPr>
          <w:rFonts w:eastAsia="黑体"/>
          <w:bCs/>
          <w:sz w:val="32"/>
          <w:szCs w:val="32"/>
        </w:rPr>
        <w:t>第十四条</w:t>
      </w:r>
      <w:r>
        <w:rPr>
          <w:rFonts w:eastAsia="仿宋_GB2312"/>
          <w:sz w:val="32"/>
          <w:szCs w:val="32"/>
        </w:rPr>
        <w:t xml:space="preserve">　公共汽车运营单位应当建立乘客投诉受理处理机制，及时受理乘客投诉。对受理的乘客投诉，公共汽车运营单位应当在七个工作日内处理，并将处理结果告知乘客。</w:t>
      </w:r>
    </w:p>
    <w:p w14:paraId="48629857" w14:textId="77777777" w:rsidR="00FD2C55" w:rsidRDefault="00000000">
      <w:pPr>
        <w:spacing w:line="540" w:lineRule="exact"/>
        <w:ind w:firstLineChars="200" w:firstLine="640"/>
        <w:rPr>
          <w:rFonts w:eastAsia="仿宋_GB2312"/>
          <w:sz w:val="32"/>
          <w:szCs w:val="32"/>
        </w:rPr>
      </w:pPr>
      <w:r>
        <w:rPr>
          <w:rFonts w:eastAsia="仿宋_GB2312"/>
          <w:sz w:val="32"/>
          <w:szCs w:val="32"/>
        </w:rPr>
        <w:t>乘客对处理结果不满意的，可以向交通运输部门申诉，交通运输部门应当在七个工作日内</w:t>
      </w:r>
      <w:proofErr w:type="gramStart"/>
      <w:r>
        <w:rPr>
          <w:rFonts w:eastAsia="仿宋_GB2312"/>
          <w:sz w:val="32"/>
          <w:szCs w:val="32"/>
        </w:rPr>
        <w:t>作出</w:t>
      </w:r>
      <w:proofErr w:type="gramEnd"/>
      <w:r>
        <w:rPr>
          <w:rFonts w:eastAsia="仿宋_GB2312"/>
          <w:sz w:val="32"/>
          <w:szCs w:val="32"/>
        </w:rPr>
        <w:t>答复。乘客也可以直接就运营服务质量问题向交通运输部门投诉。</w:t>
      </w:r>
    </w:p>
    <w:p w14:paraId="097B26C3" w14:textId="77777777" w:rsidR="00FD2C55" w:rsidRDefault="00000000">
      <w:pPr>
        <w:spacing w:line="540" w:lineRule="exact"/>
        <w:ind w:firstLineChars="200" w:firstLine="640"/>
        <w:rPr>
          <w:rFonts w:eastAsia="仿宋_GB2312"/>
          <w:sz w:val="32"/>
          <w:szCs w:val="32"/>
        </w:rPr>
      </w:pPr>
      <w:r>
        <w:rPr>
          <w:rFonts w:eastAsia="黑体"/>
          <w:bCs/>
          <w:sz w:val="32"/>
          <w:szCs w:val="32"/>
        </w:rPr>
        <w:t>第十五条</w:t>
      </w:r>
      <w:r>
        <w:rPr>
          <w:rFonts w:eastAsia="仿宋_GB2312"/>
          <w:sz w:val="32"/>
          <w:szCs w:val="32"/>
        </w:rPr>
        <w:t xml:space="preserve">　公共汽车运营单位应当落实全员安全生产责任，建立健全安全生产管理制度和安全生产责任制，保障安全生产物资、技术、人员等方面的经费投入，定期开展安全隐患排查和应</w:t>
      </w:r>
      <w:r>
        <w:rPr>
          <w:rFonts w:eastAsia="仿宋_GB2312"/>
          <w:sz w:val="32"/>
          <w:szCs w:val="32"/>
        </w:rPr>
        <w:lastRenderedPageBreak/>
        <w:t>急演练，保障运营安全。</w:t>
      </w:r>
    </w:p>
    <w:p w14:paraId="548AC28F" w14:textId="77777777" w:rsidR="00FD2C55" w:rsidRDefault="00000000">
      <w:pPr>
        <w:spacing w:line="540" w:lineRule="exact"/>
        <w:ind w:firstLineChars="200" w:firstLine="640"/>
        <w:rPr>
          <w:rFonts w:eastAsia="仿宋_GB2312"/>
          <w:sz w:val="32"/>
          <w:szCs w:val="32"/>
        </w:rPr>
      </w:pPr>
      <w:r>
        <w:rPr>
          <w:rFonts w:eastAsia="仿宋_GB2312"/>
          <w:sz w:val="32"/>
          <w:szCs w:val="32"/>
        </w:rPr>
        <w:t>支持公共汽车运营单位在车辆上安装具有发现疲劳驾驶、突发异常状态、妨碍社会治安秩序、妨碍公共安全、侵犯公民合法权益等情况并及时预警、实时处置功能的智能视频监控报警装置。支持公共汽车运营单位、社会力量对具有前述功能的智能化装置等加大研发投入。</w:t>
      </w:r>
    </w:p>
    <w:p w14:paraId="6A56B8DF" w14:textId="77777777" w:rsidR="00FD2C55" w:rsidRDefault="00000000">
      <w:pPr>
        <w:spacing w:line="540" w:lineRule="exact"/>
        <w:ind w:firstLineChars="200" w:firstLine="640"/>
        <w:rPr>
          <w:rFonts w:eastAsia="仿宋_GB2312"/>
          <w:sz w:val="32"/>
          <w:szCs w:val="32"/>
        </w:rPr>
      </w:pPr>
      <w:r>
        <w:rPr>
          <w:rFonts w:eastAsia="黑体"/>
          <w:bCs/>
          <w:sz w:val="32"/>
          <w:szCs w:val="32"/>
        </w:rPr>
        <w:t>第十六条</w:t>
      </w:r>
      <w:r>
        <w:rPr>
          <w:rFonts w:eastAsia="仿宋_GB2312"/>
          <w:sz w:val="32"/>
          <w:szCs w:val="32"/>
        </w:rPr>
        <w:t xml:space="preserve">　对驾驶员、乘务员、调度员等重点岗位人员，公共汽车运营单位应当定期组织体检，评估身心健康状况，加强心理疏导，对不适宜继续从事相关岗位工作的，应当及时调离重点岗位。</w:t>
      </w:r>
    </w:p>
    <w:p w14:paraId="1BFF2372" w14:textId="77777777" w:rsidR="00FD2C55" w:rsidRDefault="00000000">
      <w:pPr>
        <w:spacing w:line="540" w:lineRule="exact"/>
        <w:ind w:firstLineChars="200" w:firstLine="640"/>
        <w:rPr>
          <w:rFonts w:eastAsia="仿宋_GB2312"/>
          <w:sz w:val="32"/>
          <w:szCs w:val="32"/>
        </w:rPr>
      </w:pPr>
      <w:r>
        <w:rPr>
          <w:rFonts w:eastAsia="仿宋_GB2312"/>
          <w:sz w:val="32"/>
          <w:szCs w:val="32"/>
        </w:rPr>
        <w:t>公共汽车运营单位因落实驾驶员等重点岗位人员安全管理责任，向公安、卫生健康等部门提出背景核查申请的，有关部门应当支持并及时反馈。</w:t>
      </w:r>
    </w:p>
    <w:p w14:paraId="25FF9D7D" w14:textId="77777777" w:rsidR="00FD2C55" w:rsidRDefault="00000000">
      <w:pPr>
        <w:spacing w:line="540" w:lineRule="exact"/>
        <w:ind w:firstLineChars="200" w:firstLine="640"/>
        <w:rPr>
          <w:rFonts w:eastAsia="仿宋_GB2312"/>
          <w:sz w:val="32"/>
          <w:szCs w:val="32"/>
        </w:rPr>
      </w:pPr>
      <w:r>
        <w:rPr>
          <w:rFonts w:eastAsia="黑体"/>
          <w:bCs/>
          <w:sz w:val="32"/>
          <w:szCs w:val="32"/>
        </w:rPr>
        <w:t>第十七条</w:t>
      </w:r>
      <w:r>
        <w:rPr>
          <w:rFonts w:eastAsia="仿宋_GB2312"/>
          <w:sz w:val="32"/>
          <w:szCs w:val="32"/>
        </w:rPr>
        <w:t xml:space="preserve">　乘客应当遵守乘车规范，不得携带易燃、易爆、毒害性、放射性、腐蚀性以及其他可能危及人身和财产安全的危险物品进站乘车；乘客坚持携带的，公共汽车运营单位应当拒绝其进站乘车，确有必要的，应当及时报警。</w:t>
      </w:r>
    </w:p>
    <w:p w14:paraId="5A498C6A" w14:textId="77777777" w:rsidR="00FD2C55" w:rsidRDefault="00000000">
      <w:pPr>
        <w:spacing w:line="540" w:lineRule="exact"/>
        <w:ind w:firstLineChars="200" w:firstLine="640"/>
        <w:rPr>
          <w:rFonts w:eastAsia="仿宋_GB2312"/>
          <w:sz w:val="32"/>
          <w:szCs w:val="32"/>
        </w:rPr>
      </w:pPr>
      <w:r>
        <w:rPr>
          <w:rFonts w:eastAsia="仿宋_GB2312"/>
          <w:sz w:val="32"/>
          <w:szCs w:val="32"/>
        </w:rPr>
        <w:t>公共汽车运营单位发现有危害公共汽车运营安全行为的，应当及时予以制止，并采取措施消除安全隐患；确有必要的，应当及时报警或者报请交通运输等有关部门依法处理。</w:t>
      </w:r>
    </w:p>
    <w:p w14:paraId="529CADB3" w14:textId="77777777" w:rsidR="00FD2C55" w:rsidRDefault="00000000">
      <w:pPr>
        <w:spacing w:line="540" w:lineRule="exact"/>
        <w:ind w:firstLineChars="200" w:firstLine="640"/>
        <w:rPr>
          <w:rFonts w:eastAsia="仿宋_GB2312"/>
          <w:sz w:val="32"/>
          <w:szCs w:val="32"/>
        </w:rPr>
      </w:pPr>
      <w:r>
        <w:rPr>
          <w:rFonts w:eastAsia="仿宋_GB2312"/>
          <w:sz w:val="32"/>
          <w:szCs w:val="32"/>
        </w:rPr>
        <w:t>鼓励乘客对正在进行的危害公共汽车运营安全的行为予以劝阻、制止。乘客制止危害公共汽车运营安全行为，构成正当防</w:t>
      </w:r>
      <w:r>
        <w:rPr>
          <w:rFonts w:eastAsia="仿宋_GB2312"/>
          <w:sz w:val="32"/>
          <w:szCs w:val="32"/>
        </w:rPr>
        <w:lastRenderedPageBreak/>
        <w:t>卫或者紧急避险的，依法免责；符合见义勇为规定条件的，公安机关应当依法予以确认。</w:t>
      </w:r>
    </w:p>
    <w:p w14:paraId="5FC09B25" w14:textId="77777777" w:rsidR="00FD2C55" w:rsidRDefault="00000000">
      <w:pPr>
        <w:spacing w:line="540" w:lineRule="exact"/>
        <w:ind w:firstLineChars="200" w:firstLine="640"/>
        <w:rPr>
          <w:rFonts w:eastAsia="仿宋_GB2312"/>
          <w:sz w:val="32"/>
          <w:szCs w:val="32"/>
        </w:rPr>
      </w:pPr>
      <w:r>
        <w:rPr>
          <w:rFonts w:eastAsia="黑体"/>
          <w:bCs/>
          <w:sz w:val="32"/>
          <w:szCs w:val="32"/>
        </w:rPr>
        <w:t>第十八条</w:t>
      </w:r>
      <w:r>
        <w:rPr>
          <w:rFonts w:eastAsia="仿宋_GB2312"/>
          <w:sz w:val="32"/>
          <w:szCs w:val="32"/>
        </w:rPr>
        <w:t xml:space="preserve">　交通运输部门应当建立公共汽车运营单位安全生产和服务质量评价制度，定期对公共汽车运营单位的安全生产和服务质量进行评价并向社会公布。评价结果作为衡量公共汽车运营单位运营绩效、发放政府补贴等的依据。</w:t>
      </w:r>
    </w:p>
    <w:p w14:paraId="7B0CC297" w14:textId="77777777" w:rsidR="00FD2C55" w:rsidRDefault="00000000">
      <w:pPr>
        <w:spacing w:line="540" w:lineRule="exact"/>
        <w:ind w:firstLineChars="200" w:firstLine="640"/>
        <w:rPr>
          <w:rFonts w:eastAsia="仿宋_GB2312"/>
          <w:sz w:val="32"/>
          <w:szCs w:val="32"/>
        </w:rPr>
      </w:pPr>
      <w:r>
        <w:rPr>
          <w:rFonts w:eastAsia="黑体"/>
          <w:bCs/>
          <w:sz w:val="32"/>
          <w:szCs w:val="32"/>
        </w:rPr>
        <w:t>第十九条</w:t>
      </w:r>
      <w:r>
        <w:rPr>
          <w:rFonts w:eastAsia="仿宋_GB2312"/>
          <w:sz w:val="32"/>
          <w:szCs w:val="32"/>
        </w:rPr>
        <w:t xml:space="preserve">　本规定自</w:t>
      </w:r>
      <w:r>
        <w:rPr>
          <w:rFonts w:eastAsia="仿宋_GB2312"/>
          <w:sz w:val="32"/>
          <w:szCs w:val="32"/>
        </w:rPr>
        <w:t>2026</w:t>
      </w:r>
      <w:r>
        <w:rPr>
          <w:rFonts w:eastAsia="仿宋_GB2312"/>
          <w:sz w:val="32"/>
          <w:szCs w:val="32"/>
        </w:rPr>
        <w:t>年</w:t>
      </w:r>
      <w:r>
        <w:rPr>
          <w:rFonts w:eastAsia="仿宋_GB2312"/>
          <w:sz w:val="32"/>
          <w:szCs w:val="32"/>
        </w:rPr>
        <w:t>3</w:t>
      </w:r>
      <w:r>
        <w:rPr>
          <w:rFonts w:eastAsia="仿宋_GB2312"/>
          <w:sz w:val="32"/>
          <w:szCs w:val="32"/>
        </w:rPr>
        <w:t>月</w:t>
      </w:r>
      <w:r>
        <w:rPr>
          <w:rFonts w:eastAsia="仿宋_GB2312"/>
          <w:sz w:val="32"/>
          <w:szCs w:val="32"/>
        </w:rPr>
        <w:t>1</w:t>
      </w:r>
      <w:r>
        <w:rPr>
          <w:rFonts w:eastAsia="仿宋_GB2312"/>
          <w:sz w:val="32"/>
          <w:szCs w:val="32"/>
        </w:rPr>
        <w:t>日起施行。</w:t>
      </w:r>
    </w:p>
    <w:p w14:paraId="33920721" w14:textId="77777777" w:rsidR="00FD2C55" w:rsidRDefault="00000000">
      <w:pPr>
        <w:spacing w:line="540" w:lineRule="exact"/>
        <w:ind w:firstLineChars="200" w:firstLine="640"/>
        <w:rPr>
          <w:rFonts w:eastAsia="仿宋_GB2312"/>
          <w:sz w:val="32"/>
          <w:szCs w:val="32"/>
        </w:rPr>
      </w:pPr>
      <w:r>
        <w:rPr>
          <w:rFonts w:eastAsia="仿宋_GB2312"/>
          <w:sz w:val="32"/>
          <w:szCs w:val="32"/>
        </w:rPr>
        <w:t xml:space="preserve"> </w:t>
      </w:r>
    </w:p>
    <w:p w14:paraId="0428429A" w14:textId="77777777" w:rsidR="00FD2C55" w:rsidRDefault="00FD2C55">
      <w:pPr>
        <w:ind w:firstLineChars="200" w:firstLine="640"/>
        <w:rPr>
          <w:rFonts w:eastAsia="仿宋_GB2312"/>
          <w:color w:val="000000" w:themeColor="text1"/>
          <w:sz w:val="32"/>
          <w:szCs w:val="32"/>
          <w:shd w:val="clear" w:color="auto" w:fill="FFFFFF"/>
        </w:rPr>
      </w:pPr>
    </w:p>
    <w:sectPr w:rsidR="00FD2C55">
      <w:headerReference w:type="default" r:id="rId7"/>
      <w:footerReference w:type="default" r:id="rId8"/>
      <w:pgSz w:w="11906" w:h="16838"/>
      <w:pgMar w:top="2098" w:right="1474" w:bottom="1984"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78C7B" w14:textId="77777777" w:rsidR="000F02C0" w:rsidRDefault="000F02C0">
      <w:r>
        <w:separator/>
      </w:r>
    </w:p>
  </w:endnote>
  <w:endnote w:type="continuationSeparator" w:id="0">
    <w:p w14:paraId="748C6765" w14:textId="77777777" w:rsidR="000F02C0" w:rsidRDefault="000F0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35BE3" w14:textId="77777777" w:rsidR="00FD2C55" w:rsidRDefault="0000000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3CE0BFA5" wp14:editId="1524F2BD">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71628F" w14:textId="77777777" w:rsidR="00FD2C55" w:rsidRDefault="00000000">
                          <w:pPr>
                            <w:pStyle w:val="a5"/>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CE0BFA5"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571628F" w14:textId="77777777" w:rsidR="00FD2C55" w:rsidRDefault="00000000">
                    <w:pPr>
                      <w:pStyle w:val="a5"/>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1889105F" w14:textId="77777777" w:rsidR="00FD2C55" w:rsidRDefault="00000000">
    <w:pPr>
      <w:pStyle w:val="a6"/>
      <w:wordWrap w:val="0"/>
      <w:ind w:leftChars="2280" w:left="4788" w:firstLineChars="2000" w:firstLine="6400"/>
      <w:jc w:val="right"/>
      <w:rPr>
        <w:rFonts w:ascii="宋体" w:hAnsi="宋体" w:cs="宋体" w:hint="eastAsia"/>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14:anchorId="4580EF50" wp14:editId="7E69A1CE">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59E096" id="直接连接符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Pr>
        <w:rFonts w:ascii="宋体" w:hAnsi="宋体" w:cs="宋体" w:hint="eastAsia"/>
        <w:b/>
        <w:bCs/>
        <w:color w:val="005192"/>
        <w:sz w:val="28"/>
        <w:szCs w:val="44"/>
      </w:rPr>
      <w:t xml:space="preserve">金华市人民政府发布     </w:t>
    </w:r>
  </w:p>
  <w:p w14:paraId="5D45DE7B" w14:textId="77777777" w:rsidR="00FD2C55" w:rsidRDefault="00000000">
    <w:pPr>
      <w:pStyle w:val="a6"/>
      <w:wordWrap w:val="0"/>
      <w:ind w:leftChars="2280" w:left="4788" w:firstLineChars="2000" w:firstLine="5622"/>
      <w:jc w:val="right"/>
      <w:rPr>
        <w:rFonts w:ascii="宋体" w:hAnsi="宋体" w:cs="宋体" w:hint="eastAsia"/>
        <w:b/>
        <w:bCs/>
        <w:color w:val="005192"/>
        <w:sz w:val="28"/>
        <w:szCs w:val="44"/>
      </w:rPr>
    </w:pPr>
    <w:r>
      <w:rPr>
        <w:rFonts w:ascii="宋体" w:hAnsi="宋体" w:cs="宋体" w:hint="eastAsia"/>
        <w:b/>
        <w:bCs/>
        <w:color w:val="005192"/>
        <w:sz w:val="28"/>
        <w:szCs w:val="4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A0856" w14:textId="77777777" w:rsidR="000F02C0" w:rsidRDefault="000F02C0">
      <w:r>
        <w:separator/>
      </w:r>
    </w:p>
  </w:footnote>
  <w:footnote w:type="continuationSeparator" w:id="0">
    <w:p w14:paraId="474B1D5D" w14:textId="77777777" w:rsidR="000F02C0" w:rsidRDefault="000F02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D029C" w14:textId="77777777" w:rsidR="00FD2C55" w:rsidRDefault="00000000">
    <w:pPr>
      <w:pStyle w:val="a6"/>
      <w:textAlignment w:val="center"/>
      <w:rPr>
        <w:rFonts w:ascii="宋体" w:hAnsi="宋体" w:cs="宋体" w:hint="eastAsia"/>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7E622610" wp14:editId="165B3E6F">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ABCF9D" id="直接连接符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18A9DF29" w14:textId="77777777" w:rsidR="00FD2C55" w:rsidRDefault="00000000">
    <w:pPr>
      <w:pStyle w:val="a6"/>
      <w:textAlignment w:val="center"/>
      <w:rPr>
        <w:rFonts w:ascii="宋体" w:hAnsi="宋体" w:cs="宋体" w:hint="eastAsia"/>
        <w:b/>
        <w:bCs/>
        <w:color w:val="005192"/>
        <w:sz w:val="32"/>
        <w:szCs w:val="32"/>
      </w:rPr>
    </w:pPr>
    <w:r>
      <w:rPr>
        <w:rFonts w:ascii="宋体" w:hAnsi="宋体" w:cs="宋体" w:hint="eastAsia"/>
        <w:b/>
        <w:bCs/>
        <w:noProof/>
        <w:color w:val="005192"/>
        <w:sz w:val="32"/>
      </w:rPr>
      <w:drawing>
        <wp:inline distT="0" distB="0" distL="114300" distR="114300" wp14:anchorId="4576DD4C" wp14:editId="7C14968E">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金华市人民政府规章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F02C0"/>
    <w:rsid w:val="00172A27"/>
    <w:rsid w:val="00AE4FDE"/>
    <w:rsid w:val="00B11336"/>
    <w:rsid w:val="00B80D10"/>
    <w:rsid w:val="00CC206C"/>
    <w:rsid w:val="00FD2C55"/>
    <w:rsid w:val="019E71BD"/>
    <w:rsid w:val="04B679C3"/>
    <w:rsid w:val="080F63D8"/>
    <w:rsid w:val="09341458"/>
    <w:rsid w:val="0B0912D7"/>
    <w:rsid w:val="152D2DCA"/>
    <w:rsid w:val="1B9747AB"/>
    <w:rsid w:val="1DEC284C"/>
    <w:rsid w:val="1E6523AC"/>
    <w:rsid w:val="22440422"/>
    <w:rsid w:val="26BD039E"/>
    <w:rsid w:val="2FF5FC5C"/>
    <w:rsid w:val="31A15F24"/>
    <w:rsid w:val="395347B5"/>
    <w:rsid w:val="39A232A0"/>
    <w:rsid w:val="39E745AA"/>
    <w:rsid w:val="3A781C6C"/>
    <w:rsid w:val="3B5A6BBB"/>
    <w:rsid w:val="3EDA13A6"/>
    <w:rsid w:val="42F058B7"/>
    <w:rsid w:val="436109F6"/>
    <w:rsid w:val="441A38D4"/>
    <w:rsid w:val="4BC77339"/>
    <w:rsid w:val="4C9236C5"/>
    <w:rsid w:val="4FFF12C2"/>
    <w:rsid w:val="505C172E"/>
    <w:rsid w:val="52F46F0B"/>
    <w:rsid w:val="53D8014D"/>
    <w:rsid w:val="55E064E0"/>
    <w:rsid w:val="572C6D10"/>
    <w:rsid w:val="5DC34279"/>
    <w:rsid w:val="608816D1"/>
    <w:rsid w:val="60EF4E7F"/>
    <w:rsid w:val="62BBBB95"/>
    <w:rsid w:val="665233C1"/>
    <w:rsid w:val="677EC7D0"/>
    <w:rsid w:val="67FDF40C"/>
    <w:rsid w:val="6AD9688B"/>
    <w:rsid w:val="6BF51638"/>
    <w:rsid w:val="6BFF7A27"/>
    <w:rsid w:val="6D0E3F22"/>
    <w:rsid w:val="6F77AE93"/>
    <w:rsid w:val="6F7C42FA"/>
    <w:rsid w:val="6FFE2E9A"/>
    <w:rsid w:val="6FFFE911"/>
    <w:rsid w:val="7BDF72D0"/>
    <w:rsid w:val="7C9011D9"/>
    <w:rsid w:val="7DC651C5"/>
    <w:rsid w:val="7FCC2834"/>
    <w:rsid w:val="9C363BE5"/>
    <w:rsid w:val="9DED2C9E"/>
    <w:rsid w:val="A3FF7BC3"/>
    <w:rsid w:val="DBBFE1A9"/>
    <w:rsid w:val="DBFF609E"/>
    <w:rsid w:val="DDF614FE"/>
    <w:rsid w:val="DFFF8A25"/>
    <w:rsid w:val="E0F7DA3F"/>
    <w:rsid w:val="E6FD3F00"/>
    <w:rsid w:val="EDEF4206"/>
    <w:rsid w:val="EEDBE3CC"/>
    <w:rsid w:val="EF772482"/>
    <w:rsid w:val="F54FCC1F"/>
    <w:rsid w:val="F7DFD048"/>
    <w:rsid w:val="F7FBCC45"/>
    <w:rsid w:val="FDEFE4D9"/>
    <w:rsid w:val="FE0BFD08"/>
    <w:rsid w:val="FE33A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B8F879"/>
  <w15:docId w15:val="{C984A251-F09A-4D96-82BE-121781312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annotation text"/>
    <w:basedOn w:val="a"/>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8">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1454</Words>
  <Characters>1775</Characters>
  <Application>Microsoft Office Word</Application>
  <DocSecurity>0</DocSecurity>
  <Lines>104</Lines>
  <Paragraphs>92</Paragraphs>
  <ScaleCrop>false</ScaleCrop>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晓静 朱</cp:lastModifiedBy>
  <cp:revision>3</cp:revision>
  <cp:lastPrinted>2026-03-25T01:40:00Z</cp:lastPrinted>
  <dcterms:created xsi:type="dcterms:W3CDTF">2021-09-12T18:41:00Z</dcterms:created>
  <dcterms:modified xsi:type="dcterms:W3CDTF">2026-03-25T01:41:00Z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48C61CB29D3F4D9384F5922CF0F7FFB4</vt:lpwstr>
  </property>
</Properties>
</file>